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3B5C1" w14:textId="77777777" w:rsidR="00DB73FA" w:rsidRPr="00CF01D7" w:rsidRDefault="004B2B40">
      <w:pPr>
        <w:rPr>
          <w:rFonts w:ascii="Arial" w:hAnsi="Arial" w:cs="Arial"/>
          <w:sz w:val="20"/>
          <w:szCs w:val="20"/>
        </w:rPr>
      </w:pPr>
      <w:r w:rsidRPr="00CF01D7">
        <w:rPr>
          <w:rFonts w:ascii="Arial" w:hAnsi="Arial" w:cs="Arial"/>
          <w:sz w:val="20"/>
          <w:szCs w:val="20"/>
        </w:rPr>
        <w:t>To:</w:t>
      </w:r>
      <w:r w:rsidR="00F46226" w:rsidRPr="00CF01D7">
        <w:rPr>
          <w:rFonts w:ascii="Arial" w:hAnsi="Arial" w:cs="Arial"/>
          <w:sz w:val="20"/>
          <w:szCs w:val="20"/>
        </w:rPr>
        <w:t xml:space="preserve"> </w:t>
      </w:r>
      <w:r w:rsidRPr="00CF01D7">
        <w:rPr>
          <w:rFonts w:ascii="Arial" w:hAnsi="Arial" w:cs="Arial"/>
          <w:sz w:val="20"/>
          <w:szCs w:val="20"/>
        </w:rPr>
        <w:t>Horizons Regional Council</w:t>
      </w:r>
      <w:r w:rsidR="00DB73FA" w:rsidRPr="00CF01D7">
        <w:rPr>
          <w:rFonts w:ascii="Arial" w:hAnsi="Arial" w:cs="Arial"/>
          <w:sz w:val="20"/>
          <w:szCs w:val="20"/>
        </w:rPr>
        <w:t xml:space="preserve"> </w:t>
      </w:r>
    </w:p>
    <w:p w14:paraId="6F128EB8" w14:textId="77777777" w:rsidR="00DF4C83" w:rsidRPr="00CF01D7" w:rsidRDefault="00E269F5" w:rsidP="00DF4C83">
      <w:pPr>
        <w:rPr>
          <w:rFonts w:ascii="Arial" w:hAnsi="Arial" w:cs="Arial"/>
          <w:sz w:val="20"/>
          <w:szCs w:val="20"/>
          <w:shd w:val="clear" w:color="auto" w:fill="F5F5F5"/>
        </w:rPr>
      </w:pPr>
      <w:r w:rsidRPr="00CF01D7">
        <w:rPr>
          <w:rFonts w:ascii="Arial" w:hAnsi="Arial" w:cs="Arial"/>
          <w:sz w:val="20"/>
          <w:szCs w:val="20"/>
        </w:rPr>
        <w:t xml:space="preserve">Email to: </w:t>
      </w:r>
      <w:hyperlink r:id="rId5" w:history="1">
        <w:r w:rsidRPr="00CF01D7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5F5F5"/>
          </w:rPr>
          <w:t>submissions@horizons.govt.nz</w:t>
        </w:r>
      </w:hyperlink>
      <w:r w:rsidR="00DF4C83" w:rsidRPr="00CF01D7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  <w:shd w:val="clear" w:color="auto" w:fill="F5F5F5"/>
        </w:rPr>
        <w:t xml:space="preserve"> </w:t>
      </w:r>
    </w:p>
    <w:p w14:paraId="70BBE1BE" w14:textId="35FA23E1" w:rsidR="00DF4C83" w:rsidRPr="00CF01D7" w:rsidRDefault="00DF4C83" w:rsidP="00DF4C83">
      <w:pPr>
        <w:rPr>
          <w:rFonts w:ascii="Arial" w:hAnsi="Arial" w:cs="Arial"/>
          <w:sz w:val="20"/>
          <w:szCs w:val="20"/>
          <w:shd w:val="clear" w:color="auto" w:fill="F5F5F5"/>
        </w:rPr>
      </w:pPr>
      <w:r w:rsidRPr="00CF01D7">
        <w:rPr>
          <w:rFonts w:ascii="Arial" w:hAnsi="Arial" w:cs="Arial"/>
          <w:sz w:val="20"/>
          <w:szCs w:val="20"/>
          <w:shd w:val="clear" w:color="auto" w:fill="F5F5F5"/>
        </w:rPr>
        <w:t>Post</w:t>
      </w:r>
      <w:r w:rsidRPr="00CF01D7">
        <w:rPr>
          <w:rFonts w:ascii="Arial" w:hAnsi="Arial" w:cs="Arial"/>
          <w:sz w:val="20"/>
          <w:szCs w:val="20"/>
        </w:rPr>
        <w:t xml:space="preserve"> hard copy to </w:t>
      </w:r>
      <w:r w:rsidRPr="00CF01D7">
        <w:rPr>
          <w:rFonts w:ascii="Arial" w:hAnsi="Arial" w:cs="Arial"/>
          <w:sz w:val="20"/>
          <w:szCs w:val="20"/>
          <w:shd w:val="clear" w:color="auto" w:fill="F5F5F5"/>
        </w:rPr>
        <w:t>Private Bag 11025 Manawatū Mail Centre, Palmerston North 4442.</w:t>
      </w:r>
      <w:r w:rsidRPr="00CF01D7">
        <w:rPr>
          <w:rFonts w:ascii="Arial" w:hAnsi="Arial" w:cs="Arial"/>
          <w:sz w:val="20"/>
          <w:szCs w:val="20"/>
        </w:rPr>
        <w:t xml:space="preserve">   </w:t>
      </w:r>
      <w:r w:rsidR="004B2B40" w:rsidRPr="00CF01D7">
        <w:rPr>
          <w:rFonts w:ascii="Arial" w:hAnsi="Arial" w:cs="Arial"/>
          <w:sz w:val="20"/>
          <w:szCs w:val="20"/>
        </w:rPr>
        <w:br/>
      </w:r>
      <w:r w:rsidRPr="00CF01D7">
        <w:rPr>
          <w:rFonts w:ascii="Arial" w:eastAsia="Times New Roman" w:hAnsi="Arial" w:cs="Arial"/>
          <w:color w:val="414141"/>
          <w:sz w:val="20"/>
          <w:szCs w:val="20"/>
          <w:lang w:val="en-US"/>
        </w:rPr>
        <w:t>Deliver your submission to Horizons' office at 11-15 Victoria Avenue, Palmerston North.</w:t>
      </w:r>
    </w:p>
    <w:p w14:paraId="4FFB03C0" w14:textId="5B75440A" w:rsidR="0037004C" w:rsidRPr="00CF01D7" w:rsidRDefault="007950C4">
      <w:pPr>
        <w:rPr>
          <w:rFonts w:ascii="Arial" w:hAnsi="Arial" w:cs="Arial"/>
          <w:color w:val="4472C4" w:themeColor="accent1"/>
          <w:sz w:val="20"/>
          <w:szCs w:val="20"/>
        </w:rPr>
      </w:pPr>
    </w:p>
    <w:p w14:paraId="01620DF2" w14:textId="07902C86" w:rsidR="004B2B40" w:rsidRPr="00CF01D7" w:rsidRDefault="004B2B40">
      <w:pPr>
        <w:rPr>
          <w:rFonts w:ascii="Arial" w:hAnsi="Arial" w:cs="Arial"/>
          <w:sz w:val="20"/>
          <w:szCs w:val="20"/>
        </w:rPr>
      </w:pPr>
      <w:r w:rsidRPr="00CF01D7">
        <w:rPr>
          <w:rFonts w:ascii="Arial" w:hAnsi="Arial" w:cs="Arial"/>
          <w:sz w:val="20"/>
          <w:szCs w:val="20"/>
        </w:rPr>
        <w:t>Name of Submitter:</w:t>
      </w:r>
    </w:p>
    <w:p w14:paraId="4D6E11DD" w14:textId="77777777" w:rsidR="0024311F" w:rsidRPr="00CF01D7" w:rsidRDefault="004B2B40">
      <w:pPr>
        <w:rPr>
          <w:rFonts w:ascii="Arial" w:hAnsi="Arial" w:cs="Arial"/>
          <w:sz w:val="20"/>
          <w:szCs w:val="20"/>
        </w:rPr>
      </w:pPr>
      <w:r w:rsidRPr="00CF01D7">
        <w:rPr>
          <w:rFonts w:ascii="Arial" w:hAnsi="Arial" w:cs="Arial"/>
          <w:sz w:val="20"/>
          <w:szCs w:val="20"/>
        </w:rPr>
        <w:t>This is a submission on the following proposed plan: Proposed Plan Change 2 – Existing Intensive Farming Land uses.</w:t>
      </w:r>
      <w:r w:rsidRPr="00CF01D7">
        <w:rPr>
          <w:rFonts w:ascii="Arial" w:hAnsi="Arial" w:cs="Arial"/>
          <w:sz w:val="20"/>
          <w:szCs w:val="20"/>
        </w:rPr>
        <w:br/>
      </w:r>
    </w:p>
    <w:p w14:paraId="6C3EC858" w14:textId="79A516F1" w:rsidR="004B2B40" w:rsidRPr="00CF01D7" w:rsidRDefault="004B2B40">
      <w:pPr>
        <w:rPr>
          <w:rFonts w:ascii="Arial" w:hAnsi="Arial" w:cs="Arial"/>
          <w:sz w:val="20"/>
          <w:szCs w:val="20"/>
        </w:rPr>
      </w:pPr>
      <w:r w:rsidRPr="00CF01D7">
        <w:rPr>
          <w:rFonts w:ascii="Arial" w:hAnsi="Arial" w:cs="Arial"/>
          <w:sz w:val="20"/>
          <w:szCs w:val="20"/>
        </w:rPr>
        <w:t>I could not gain an advantage in trade competition in making this submission.</w:t>
      </w:r>
      <w:r w:rsidRPr="00CF01D7">
        <w:rPr>
          <w:rFonts w:ascii="Arial" w:hAnsi="Arial" w:cs="Arial"/>
          <w:sz w:val="20"/>
          <w:szCs w:val="20"/>
        </w:rPr>
        <w:br/>
      </w:r>
    </w:p>
    <w:p w14:paraId="3F98D3A3" w14:textId="77777777" w:rsidR="004B2B40" w:rsidRPr="00CF01D7" w:rsidRDefault="004B2B40">
      <w:pPr>
        <w:rPr>
          <w:rFonts w:ascii="Arial" w:hAnsi="Arial" w:cs="Arial"/>
          <w:sz w:val="20"/>
          <w:szCs w:val="20"/>
        </w:rPr>
      </w:pPr>
      <w:r w:rsidRPr="00CF01D7">
        <w:rPr>
          <w:rFonts w:ascii="Arial" w:hAnsi="Arial" w:cs="Arial"/>
          <w:sz w:val="20"/>
          <w:szCs w:val="20"/>
        </w:rPr>
        <w:t>The specific provisions of the proposal that my submission relates to are:</w:t>
      </w:r>
    </w:p>
    <w:p w14:paraId="64FBF997" w14:textId="09054ADD" w:rsidR="004B2B40" w:rsidRPr="00CF01D7" w:rsidRDefault="004B2B40" w:rsidP="004B2B40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CF01D7">
        <w:rPr>
          <w:rFonts w:ascii="Arial" w:hAnsi="Arial" w:cs="Arial"/>
          <w:sz w:val="20"/>
          <w:szCs w:val="20"/>
        </w:rPr>
        <w:t>Policy 5-8 Management and regulation of intensive farming land</w:t>
      </w:r>
      <w:r w:rsidR="0024311F" w:rsidRPr="00CF01D7">
        <w:rPr>
          <w:rFonts w:ascii="Arial" w:hAnsi="Arial" w:cs="Arial"/>
          <w:sz w:val="20"/>
          <w:szCs w:val="20"/>
        </w:rPr>
        <w:t>-</w:t>
      </w:r>
      <w:r w:rsidRPr="00CF01D7">
        <w:rPr>
          <w:rFonts w:ascii="Arial" w:hAnsi="Arial" w:cs="Arial"/>
          <w:sz w:val="20"/>
          <w:szCs w:val="20"/>
        </w:rPr>
        <w:t>use activities affecting groundwater and surface water quality</w:t>
      </w:r>
      <w:r w:rsidRPr="00CF01D7">
        <w:rPr>
          <w:rFonts w:ascii="Arial" w:hAnsi="Arial" w:cs="Arial"/>
          <w:sz w:val="20"/>
          <w:szCs w:val="20"/>
        </w:rPr>
        <w:br/>
      </w:r>
    </w:p>
    <w:p w14:paraId="31A30CD8" w14:textId="24D7297E" w:rsidR="004B2B40" w:rsidRPr="00CF01D7" w:rsidRDefault="004B2B40" w:rsidP="004B2B40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CF01D7">
        <w:rPr>
          <w:rFonts w:ascii="Arial" w:hAnsi="Arial" w:cs="Arial"/>
          <w:sz w:val="20"/>
          <w:szCs w:val="20"/>
        </w:rPr>
        <w:t>Policy 14-3 Good management practices</w:t>
      </w:r>
      <w:r w:rsidRPr="00CF01D7">
        <w:rPr>
          <w:rFonts w:ascii="Arial" w:hAnsi="Arial" w:cs="Arial"/>
          <w:sz w:val="20"/>
          <w:szCs w:val="20"/>
        </w:rPr>
        <w:br/>
      </w:r>
    </w:p>
    <w:p w14:paraId="57307F07" w14:textId="6D5F86E9" w:rsidR="004B2B40" w:rsidRPr="00CF01D7" w:rsidRDefault="004B2B40" w:rsidP="004B2B40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CF01D7">
        <w:rPr>
          <w:rFonts w:ascii="Arial" w:hAnsi="Arial" w:cs="Arial"/>
          <w:sz w:val="20"/>
          <w:szCs w:val="20"/>
        </w:rPr>
        <w:t>Policy 14-5 Management of intensive farming land uses</w:t>
      </w:r>
      <w:r w:rsidRPr="00CF01D7">
        <w:rPr>
          <w:rFonts w:ascii="Arial" w:hAnsi="Arial" w:cs="Arial"/>
          <w:sz w:val="20"/>
          <w:szCs w:val="20"/>
        </w:rPr>
        <w:br/>
      </w:r>
    </w:p>
    <w:p w14:paraId="7A861119" w14:textId="04C78512" w:rsidR="004B2B40" w:rsidRPr="00CF01D7" w:rsidRDefault="004B2B40" w:rsidP="004B2B40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CF01D7">
        <w:rPr>
          <w:rFonts w:ascii="Arial" w:hAnsi="Arial" w:cs="Arial"/>
          <w:sz w:val="20"/>
          <w:szCs w:val="20"/>
        </w:rPr>
        <w:t>Policy 14-6 Resource consent decision-making for intensive farming land uses</w:t>
      </w:r>
      <w:r w:rsidRPr="00CF01D7">
        <w:rPr>
          <w:rFonts w:ascii="Arial" w:hAnsi="Arial" w:cs="Arial"/>
          <w:sz w:val="20"/>
          <w:szCs w:val="20"/>
        </w:rPr>
        <w:br/>
      </w:r>
    </w:p>
    <w:p w14:paraId="044AD8F5" w14:textId="77777777" w:rsidR="004B2B40" w:rsidRPr="00CF01D7" w:rsidRDefault="004B2B40" w:rsidP="004B2B40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CF01D7">
        <w:rPr>
          <w:rFonts w:ascii="Arial" w:hAnsi="Arial" w:cs="Arial"/>
          <w:sz w:val="20"/>
          <w:szCs w:val="20"/>
        </w:rPr>
        <w:t>Rules 14.1 Agricultural Activities</w:t>
      </w:r>
      <w:r w:rsidR="003472E3" w:rsidRPr="00CF01D7">
        <w:rPr>
          <w:rFonts w:ascii="Arial" w:hAnsi="Arial" w:cs="Arial"/>
          <w:sz w:val="20"/>
          <w:szCs w:val="20"/>
        </w:rPr>
        <w:br/>
      </w:r>
    </w:p>
    <w:p w14:paraId="4671DFA2" w14:textId="0D8359F8" w:rsidR="003472E3" w:rsidRPr="00007618" w:rsidRDefault="003472E3" w:rsidP="003472E3">
      <w:pPr>
        <w:pStyle w:val="ListParagraph"/>
        <w:ind w:left="0"/>
        <w:rPr>
          <w:sz w:val="21"/>
          <w:szCs w:val="21"/>
        </w:rPr>
      </w:pPr>
      <w:r w:rsidRPr="00CF01D7">
        <w:rPr>
          <w:rFonts w:ascii="Arial" w:hAnsi="Arial" w:cs="Arial"/>
          <w:sz w:val="20"/>
          <w:szCs w:val="20"/>
        </w:rPr>
        <w:t>My submission is</w:t>
      </w:r>
      <w:r w:rsidR="0024311F" w:rsidRPr="00CF01D7">
        <w:rPr>
          <w:rFonts w:ascii="Arial" w:hAnsi="Arial" w:cs="Arial"/>
          <w:sz w:val="20"/>
          <w:szCs w:val="20"/>
        </w:rPr>
        <w:t xml:space="preserve"> that</w:t>
      </w:r>
      <w:r w:rsidRPr="00CF01D7">
        <w:rPr>
          <w:rFonts w:ascii="Arial" w:hAnsi="Arial" w:cs="Arial"/>
          <w:sz w:val="20"/>
          <w:szCs w:val="20"/>
        </w:rPr>
        <w:t>:</w:t>
      </w:r>
      <w:r w:rsidRPr="00CF01D7">
        <w:rPr>
          <w:rFonts w:ascii="Arial" w:hAnsi="Arial" w:cs="Arial"/>
          <w:sz w:val="20"/>
          <w:szCs w:val="20"/>
        </w:rPr>
        <w:br/>
      </w:r>
    </w:p>
    <w:p w14:paraId="236EC6E3" w14:textId="77777777" w:rsidR="00CF01D7" w:rsidRPr="00CF01D7" w:rsidRDefault="00CF01D7" w:rsidP="00CF01D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AU"/>
        </w:rPr>
      </w:pPr>
      <w:r w:rsidRPr="00CF01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AU"/>
        </w:rPr>
        <w:t>My submission is that:</w:t>
      </w:r>
    </w:p>
    <w:p w14:paraId="6BD0B3F3" w14:textId="77777777" w:rsidR="00CF01D7" w:rsidRPr="00CF01D7" w:rsidRDefault="00CF01D7" w:rsidP="00CF01D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AU"/>
        </w:rPr>
      </w:pPr>
    </w:p>
    <w:p w14:paraId="4FE337FB" w14:textId="77777777" w:rsidR="004E2094" w:rsidRDefault="00CF01D7" w:rsidP="00CF01D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AU"/>
        </w:rPr>
      </w:pPr>
      <w:r w:rsidRPr="00CF01D7">
        <w:rPr>
          <w:rFonts w:ascii="Arial" w:eastAsia="Times New Roman" w:hAnsi="Arial" w:cs="Arial"/>
          <w:sz w:val="20"/>
          <w:szCs w:val="20"/>
          <w:lang w:val="en-AU"/>
        </w:rPr>
        <w:t>Not all rural production activities are equal in value to the community or equal in environmental effect. The value</w:t>
      </w:r>
      <w:r w:rsidR="004E2094">
        <w:rPr>
          <w:rFonts w:ascii="Arial" w:eastAsia="Times New Roman" w:hAnsi="Arial" w:cs="Arial"/>
          <w:sz w:val="20"/>
          <w:szCs w:val="20"/>
          <w:lang w:val="en-AU"/>
        </w:rPr>
        <w:t>s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 of vegetable growing</w:t>
      </w:r>
      <w:r w:rsidR="004E2094">
        <w:rPr>
          <w:rFonts w:ascii="Arial" w:eastAsia="Times New Roman" w:hAnsi="Arial" w:cs="Arial"/>
          <w:sz w:val="20"/>
          <w:szCs w:val="20"/>
          <w:lang w:val="en-AU"/>
        </w:rPr>
        <w:t xml:space="preserve"> (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>including potato production</w:t>
      </w:r>
      <w:r w:rsidR="004E2094">
        <w:rPr>
          <w:rFonts w:ascii="Arial" w:eastAsia="Times New Roman" w:hAnsi="Arial" w:cs="Arial"/>
          <w:sz w:val="20"/>
          <w:szCs w:val="20"/>
          <w:lang w:val="en-AU"/>
        </w:rPr>
        <w:t>)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 for domestic food supply and security and the ability to feed people in the future is not reflected in proposed Plan Change </w:t>
      </w:r>
      <w:r w:rsidR="00301E7F">
        <w:rPr>
          <w:rFonts w:ascii="Arial" w:eastAsia="Times New Roman" w:hAnsi="Arial" w:cs="Arial"/>
          <w:sz w:val="20"/>
          <w:szCs w:val="20"/>
          <w:lang w:val="en-AU"/>
        </w:rPr>
        <w:t>2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. </w:t>
      </w:r>
    </w:p>
    <w:p w14:paraId="7E83A587" w14:textId="77777777" w:rsidR="004E2094" w:rsidRDefault="004E2094" w:rsidP="004E2094">
      <w:p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AU"/>
        </w:rPr>
      </w:pPr>
    </w:p>
    <w:p w14:paraId="4094680A" w14:textId="6833B731" w:rsidR="00CF01D7" w:rsidRPr="00CF01D7" w:rsidRDefault="00CF01D7" w:rsidP="00CF01D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AU"/>
        </w:rPr>
      </w:pP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Nor </w:t>
      </w:r>
      <w:r w:rsidR="004E2094">
        <w:rPr>
          <w:rFonts w:ascii="Arial" w:eastAsia="Times New Roman" w:hAnsi="Arial" w:cs="Arial"/>
          <w:sz w:val="20"/>
          <w:szCs w:val="20"/>
          <w:lang w:val="en-AU"/>
        </w:rPr>
        <w:t xml:space="preserve">does the Plan Change </w:t>
      </w:r>
      <w:r w:rsidR="007950C4">
        <w:rPr>
          <w:rFonts w:ascii="Arial" w:eastAsia="Times New Roman" w:hAnsi="Arial" w:cs="Arial"/>
          <w:sz w:val="20"/>
          <w:szCs w:val="20"/>
          <w:lang w:val="en-AU"/>
        </w:rPr>
        <w:t>2</w:t>
      </w:r>
      <w:r w:rsidR="004E2094">
        <w:rPr>
          <w:rFonts w:ascii="Arial" w:eastAsia="Times New Roman" w:hAnsi="Arial" w:cs="Arial"/>
          <w:sz w:val="20"/>
          <w:szCs w:val="20"/>
          <w:lang w:val="en-AU"/>
        </w:rPr>
        <w:t xml:space="preserve"> adequately address 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>the effects of climate change in maintaining the status quo land use activity mix</w:t>
      </w:r>
      <w:r w:rsidR="004E2094">
        <w:rPr>
          <w:rFonts w:ascii="Arial" w:eastAsia="Times New Roman" w:hAnsi="Arial" w:cs="Arial"/>
          <w:sz w:val="20"/>
          <w:szCs w:val="20"/>
          <w:lang w:val="en-AU"/>
        </w:rPr>
        <w:t xml:space="preserve"> for essential food production. The Plan Change fails to recognise the value of the Horizons-Manawatu region as a food source for the whole of New Zealand.</w:t>
      </w:r>
    </w:p>
    <w:p w14:paraId="18681DBA" w14:textId="77777777" w:rsidR="00CF01D7" w:rsidRPr="00CF01D7" w:rsidRDefault="00CF01D7" w:rsidP="00CF01D7">
      <w:p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AU"/>
        </w:rPr>
      </w:pPr>
    </w:p>
    <w:p w14:paraId="6D493718" w14:textId="424E26DE" w:rsidR="00CF01D7" w:rsidRPr="00CF01D7" w:rsidRDefault="00CF01D7" w:rsidP="00CF01D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AU"/>
        </w:rPr>
      </w:pP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A tailored approach is required for </w:t>
      </w:r>
      <w:r w:rsidR="00301E7F">
        <w:rPr>
          <w:rFonts w:ascii="Arial" w:eastAsia="Times New Roman" w:hAnsi="Arial" w:cs="Arial"/>
          <w:sz w:val="20"/>
          <w:szCs w:val="20"/>
          <w:lang w:val="en-AU"/>
        </w:rPr>
        <w:t xml:space="preserve">managing 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commercial vegetable 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>growing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 land with high production value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>s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 to realise its food production purpose, while achieving catchment wide water quality improvements and other environmental benefits in the longer term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>. This means retaining access to these unique soils and the natural resources which support them.</w:t>
      </w:r>
    </w:p>
    <w:p w14:paraId="2CD37B59" w14:textId="77777777" w:rsidR="00CF01D7" w:rsidRPr="00CF01D7" w:rsidRDefault="00CF01D7" w:rsidP="00CF01D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AU"/>
        </w:rPr>
      </w:pPr>
    </w:p>
    <w:p w14:paraId="482FC0E6" w14:textId="10E852B5" w:rsidR="00CF01D7" w:rsidRPr="00CF01D7" w:rsidRDefault="00CF01D7" w:rsidP="00CF01D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AU"/>
        </w:rPr>
      </w:pP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Rural production systems are very diverse with a wide range of fruits, vegetables and other crops being grown across 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>Horizons-Manawatu regional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. Potato production systems rely on rotations; often enabled by sharing and leasing agreements. The 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 xml:space="preserve">existing approach in the Horizons-Manawatu region 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has significantly 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>reduc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ed the ability to undertake new leases. 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 xml:space="preserve">We are concerned that 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Plan Change 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>2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 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>will introduce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 further obstacles and requires amendment to avoid wider effects that are most likely unintended</w:t>
      </w:r>
    </w:p>
    <w:p w14:paraId="6B0820E7" w14:textId="77777777" w:rsidR="00CF01D7" w:rsidRPr="00CF01D7" w:rsidRDefault="00CF01D7" w:rsidP="00CF01D7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AU"/>
        </w:rPr>
      </w:pPr>
    </w:p>
    <w:p w14:paraId="31E32698" w14:textId="3EB5C468" w:rsidR="00CF01D7" w:rsidRPr="00CF01D7" w:rsidRDefault="00CF01D7" w:rsidP="00CF01D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AU"/>
        </w:rPr>
      </w:pP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The assessment process underpinning the proposed Plan Change 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>2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 does not adequately provide for new growing operations to meet 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 xml:space="preserve">the 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>future food demand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>s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. Existing production is also at threat from the restrictions on movement of activities across 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 xml:space="preserve">artificial zone 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>and catchment boundaries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 xml:space="preserve">. </w:t>
      </w:r>
    </w:p>
    <w:p w14:paraId="724C659D" w14:textId="77777777" w:rsidR="00CF01D7" w:rsidRPr="00CF01D7" w:rsidRDefault="00CF01D7" w:rsidP="00CF01D7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AU"/>
        </w:rPr>
      </w:pPr>
    </w:p>
    <w:p w14:paraId="77E3346A" w14:textId="6BC49BF0" w:rsidR="00CF01D7" w:rsidRPr="00CF01D7" w:rsidRDefault="00CF01D7" w:rsidP="00CF01D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AU"/>
        </w:rPr>
      </w:pP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I have concerns about my ability to accurately 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 xml:space="preserve">and reliably 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assess nutrient discharges from horticultural systems, specifically the deficiencies in OVERSEER to model horticultural crops, and would support a 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>performance-based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 method for tallying nutrient losses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 xml:space="preserve"> related to horticultural management practices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>. The potato sector is supporting a more accurate “direct measurement” based approach and in my view that is appropriate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 xml:space="preserve"> for the industry.</w:t>
      </w:r>
    </w:p>
    <w:p w14:paraId="625EB46D" w14:textId="77777777" w:rsidR="00CF01D7" w:rsidRPr="00CF01D7" w:rsidRDefault="00CF01D7" w:rsidP="00CF01D7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AU"/>
        </w:rPr>
      </w:pPr>
    </w:p>
    <w:p w14:paraId="663CA56B" w14:textId="0EF05342" w:rsidR="00CF01D7" w:rsidRPr="00CF01D7" w:rsidRDefault="00CF01D7" w:rsidP="00CF01D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AU"/>
        </w:rPr>
      </w:pPr>
      <w:r w:rsidRPr="00CF01D7">
        <w:rPr>
          <w:rFonts w:ascii="Arial" w:eastAsia="Times New Roman" w:hAnsi="Arial" w:cs="Arial"/>
          <w:sz w:val="20"/>
          <w:szCs w:val="20"/>
          <w:lang w:val="en-AU"/>
        </w:rPr>
        <w:lastRenderedPageBreak/>
        <w:t>The real water quality improvement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>s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 come from the practices I adopt to manage discharges from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 xml:space="preserve"> the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 land I manage (often only 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 xml:space="preserve">in 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>temporar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>y rotations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>). I support requiring all growers to operate at good management practice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>.</w:t>
      </w:r>
    </w:p>
    <w:p w14:paraId="3FA2E252" w14:textId="77777777" w:rsidR="00CF01D7" w:rsidRPr="00CF01D7" w:rsidRDefault="00CF01D7" w:rsidP="00CF01D7">
      <w:pPr>
        <w:spacing w:after="0" w:line="240" w:lineRule="auto"/>
        <w:ind w:left="-720"/>
        <w:rPr>
          <w:rFonts w:ascii="Arial" w:eastAsia="Times New Roman" w:hAnsi="Arial" w:cs="Arial"/>
          <w:sz w:val="20"/>
          <w:szCs w:val="20"/>
          <w:lang w:val="en-AU"/>
        </w:rPr>
      </w:pPr>
    </w:p>
    <w:p w14:paraId="66D14592" w14:textId="64F5DC99" w:rsidR="00CF01D7" w:rsidRPr="00CF01D7" w:rsidRDefault="00CF01D7" w:rsidP="00CF01D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AU"/>
        </w:rPr>
      </w:pPr>
      <w:r w:rsidRPr="00CF01D7">
        <w:rPr>
          <w:rFonts w:ascii="Arial" w:eastAsia="Times New Roman" w:hAnsi="Arial" w:cs="Arial"/>
          <w:sz w:val="20"/>
          <w:szCs w:val="20"/>
          <w:lang w:val="en-AU"/>
        </w:rPr>
        <w:t>I propose provisions be added to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 xml:space="preserve"> incentivise and enable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 existing areas of vegetable growing to move onto 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>suitable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 land in a different catchment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 xml:space="preserve"> across the region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>, to account for crop rotation, leased land arrangements and to enable growers to move to less environmentally sensitive locations</w:t>
      </w:r>
      <w:r w:rsidR="007405D6">
        <w:rPr>
          <w:rFonts w:ascii="Arial" w:eastAsia="Times New Roman" w:hAnsi="Arial" w:cs="Arial"/>
          <w:sz w:val="20"/>
          <w:szCs w:val="20"/>
          <w:lang w:val="en-AU"/>
        </w:rPr>
        <w:t xml:space="preserve"> as they are available.</w:t>
      </w:r>
    </w:p>
    <w:p w14:paraId="0566CD75" w14:textId="77777777" w:rsidR="00CF01D7" w:rsidRPr="00CF01D7" w:rsidRDefault="00CF01D7" w:rsidP="00CF01D7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AU"/>
        </w:rPr>
      </w:pPr>
    </w:p>
    <w:p w14:paraId="53E4A5B2" w14:textId="32B0AA13" w:rsidR="00CF01D7" w:rsidRPr="00CF01D7" w:rsidRDefault="00CF01D7" w:rsidP="00CF01D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AU"/>
        </w:rPr>
      </w:pP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I </w:t>
      </w:r>
      <w:r w:rsidR="0007123E">
        <w:rPr>
          <w:rFonts w:ascii="Arial" w:eastAsia="Times New Roman" w:hAnsi="Arial" w:cs="Arial"/>
          <w:sz w:val="20"/>
          <w:szCs w:val="20"/>
          <w:lang w:val="en-AU"/>
        </w:rPr>
        <w:t>strongly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 support the ability for a group of growers to be able to manage environmental issues collectively to improve the effectiveness of the</w:t>
      </w:r>
      <w:r w:rsidR="0007123E">
        <w:rPr>
          <w:rFonts w:ascii="Arial" w:eastAsia="Times New Roman" w:hAnsi="Arial" w:cs="Arial"/>
          <w:sz w:val="20"/>
          <w:szCs w:val="20"/>
          <w:lang w:val="en-AU"/>
        </w:rPr>
        <w:t>ir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 response to water quality issues. I consider Plan Change </w:t>
      </w:r>
      <w:r w:rsidR="0007123E">
        <w:rPr>
          <w:rFonts w:ascii="Arial" w:eastAsia="Times New Roman" w:hAnsi="Arial" w:cs="Arial"/>
          <w:sz w:val="20"/>
          <w:szCs w:val="20"/>
          <w:lang w:val="en-AU"/>
        </w:rPr>
        <w:t>2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 should enable collaborative or collective approaches to regulating potato production activities. This has been demonstrated as workable by the irrigation schemes and should be expressly </w:t>
      </w:r>
      <w:r w:rsidR="0007123E">
        <w:rPr>
          <w:rFonts w:ascii="Arial" w:eastAsia="Times New Roman" w:hAnsi="Arial" w:cs="Arial"/>
          <w:sz w:val="20"/>
          <w:szCs w:val="20"/>
          <w:lang w:val="en-AU"/>
        </w:rPr>
        <w:t>provided for in the Plan.</w:t>
      </w:r>
    </w:p>
    <w:p w14:paraId="05B56D3E" w14:textId="77777777" w:rsidR="00CF01D7" w:rsidRPr="00CF01D7" w:rsidRDefault="00CF01D7" w:rsidP="00CF01D7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AU"/>
        </w:rPr>
      </w:pPr>
    </w:p>
    <w:p w14:paraId="1C2C9341" w14:textId="5D2BC8A6" w:rsidR="00CF01D7" w:rsidRPr="00CF01D7" w:rsidRDefault="00CF01D7" w:rsidP="00CF01D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AU"/>
        </w:rPr>
      </w:pP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Where this submission aligns with the PotatoesNZ and Horticulture NZ submissions, I </w:t>
      </w:r>
      <w:r w:rsidR="0007123E">
        <w:rPr>
          <w:rFonts w:ascii="Arial" w:eastAsia="Times New Roman" w:hAnsi="Arial" w:cs="Arial"/>
          <w:sz w:val="20"/>
          <w:szCs w:val="20"/>
          <w:lang w:val="en-AU"/>
        </w:rPr>
        <w:t xml:space="preserve">also </w:t>
      </w:r>
      <w:r w:rsidRPr="00CF01D7">
        <w:rPr>
          <w:rFonts w:ascii="Arial" w:eastAsia="Times New Roman" w:hAnsi="Arial" w:cs="Arial"/>
          <w:sz w:val="20"/>
          <w:szCs w:val="20"/>
          <w:lang w:val="en-AU"/>
        </w:rPr>
        <w:t>support those submissions</w:t>
      </w:r>
      <w:r w:rsidR="0007123E">
        <w:rPr>
          <w:rFonts w:ascii="Arial" w:eastAsia="Times New Roman" w:hAnsi="Arial" w:cs="Arial"/>
          <w:sz w:val="20"/>
          <w:szCs w:val="20"/>
          <w:lang w:val="en-AU"/>
        </w:rPr>
        <w:t>.</w:t>
      </w:r>
    </w:p>
    <w:p w14:paraId="7519F323" w14:textId="77777777" w:rsidR="00CF01D7" w:rsidRPr="00CF01D7" w:rsidRDefault="00CF01D7" w:rsidP="00CF01D7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AU"/>
        </w:rPr>
      </w:pPr>
    </w:p>
    <w:p w14:paraId="7F916D56" w14:textId="77777777" w:rsidR="00CF01D7" w:rsidRPr="00CF01D7" w:rsidRDefault="00CF01D7" w:rsidP="00CF01D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AU"/>
        </w:rPr>
      </w:pPr>
      <w:r w:rsidRPr="00CF01D7">
        <w:rPr>
          <w:rFonts w:ascii="Arial" w:eastAsia="Times New Roman" w:hAnsi="Arial" w:cs="Arial"/>
          <w:sz w:val="20"/>
          <w:szCs w:val="20"/>
          <w:lang w:val="en-AU"/>
        </w:rPr>
        <w:t>My operation is located___________________ and comprises of the following crops and acreage_______________________________________________________________________</w:t>
      </w:r>
    </w:p>
    <w:p w14:paraId="091C848A" w14:textId="77777777" w:rsidR="00CF01D7" w:rsidRPr="00CF01D7" w:rsidRDefault="00CF01D7" w:rsidP="00CF01D7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AU"/>
        </w:rPr>
      </w:pPr>
    </w:p>
    <w:p w14:paraId="26156532" w14:textId="77777777" w:rsidR="00CF01D7" w:rsidRPr="00CF01D7" w:rsidRDefault="00CF01D7" w:rsidP="00CF01D7">
      <w:p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AU"/>
        </w:rPr>
      </w:pPr>
      <w:r w:rsidRPr="00CF01D7">
        <w:rPr>
          <w:rFonts w:ascii="Arial" w:eastAsia="Times New Roman" w:hAnsi="Arial" w:cs="Arial"/>
          <w:sz w:val="20"/>
          <w:szCs w:val="20"/>
          <w:lang w:val="en-AU"/>
        </w:rPr>
        <w:t>_____________________________________________________________________________</w:t>
      </w:r>
    </w:p>
    <w:p w14:paraId="1DD7F872" w14:textId="77777777" w:rsidR="00CF01D7" w:rsidRPr="00CF01D7" w:rsidRDefault="00CF01D7" w:rsidP="00CF01D7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AU"/>
        </w:rPr>
      </w:pPr>
    </w:p>
    <w:p w14:paraId="3199099D" w14:textId="7C7BF2F3" w:rsidR="00CF01D7" w:rsidRDefault="00CF01D7" w:rsidP="00CF01D7">
      <w:pPr>
        <w:rPr>
          <w:rFonts w:ascii="Arial" w:eastAsia="Times New Roman" w:hAnsi="Arial" w:cs="Arial"/>
          <w:sz w:val="20"/>
          <w:szCs w:val="20"/>
          <w:lang w:val="en-AU"/>
        </w:rPr>
      </w:pPr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Plan Change </w:t>
      </w:r>
      <w:r w:rsidR="007950C4">
        <w:rPr>
          <w:rFonts w:ascii="Arial" w:eastAsia="Times New Roman" w:hAnsi="Arial" w:cs="Arial"/>
          <w:sz w:val="20"/>
          <w:szCs w:val="20"/>
          <w:lang w:val="en-AU"/>
        </w:rPr>
        <w:t>2</w:t>
      </w:r>
      <w:bookmarkStart w:id="0" w:name="_GoBack"/>
      <w:bookmarkEnd w:id="0"/>
      <w:r w:rsidRPr="00CF01D7">
        <w:rPr>
          <w:rFonts w:ascii="Arial" w:eastAsia="Times New Roman" w:hAnsi="Arial" w:cs="Arial"/>
          <w:sz w:val="20"/>
          <w:szCs w:val="20"/>
          <w:lang w:val="en-AU"/>
        </w:rPr>
        <w:t xml:space="preserve"> is likely to affect my business in the following way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134CCF" w14:textId="77777777" w:rsidR="00CF01D7" w:rsidRDefault="00CF01D7" w:rsidP="00CF01D7">
      <w:pPr>
        <w:rPr>
          <w:rFonts w:ascii="Arial" w:eastAsia="Times New Roman" w:hAnsi="Arial" w:cs="Arial"/>
          <w:sz w:val="20"/>
          <w:szCs w:val="20"/>
          <w:lang w:val="en-AU"/>
        </w:rPr>
      </w:pPr>
    </w:p>
    <w:p w14:paraId="2289066F" w14:textId="5712AA12" w:rsidR="00007618" w:rsidRPr="00CF01D7" w:rsidRDefault="00007618" w:rsidP="00CF01D7">
      <w:pPr>
        <w:rPr>
          <w:rFonts w:ascii="Arial" w:hAnsi="Arial" w:cs="Arial"/>
          <w:sz w:val="20"/>
          <w:szCs w:val="20"/>
        </w:rPr>
      </w:pPr>
      <w:r w:rsidRPr="00CF01D7">
        <w:rPr>
          <w:rFonts w:ascii="Arial" w:hAnsi="Arial" w:cs="Arial"/>
          <w:sz w:val="20"/>
          <w:szCs w:val="20"/>
        </w:rPr>
        <w:t>I wish to be heard in support of this submission.</w:t>
      </w:r>
      <w:r w:rsidRPr="00CF01D7">
        <w:rPr>
          <w:rFonts w:ascii="Arial" w:hAnsi="Arial" w:cs="Arial"/>
          <w:sz w:val="20"/>
          <w:szCs w:val="20"/>
        </w:rPr>
        <w:br/>
      </w:r>
    </w:p>
    <w:p w14:paraId="7DC89062" w14:textId="149A8941" w:rsidR="00007618" w:rsidRPr="00CF01D7" w:rsidRDefault="00007618" w:rsidP="00007618">
      <w:pPr>
        <w:rPr>
          <w:rFonts w:ascii="Arial" w:hAnsi="Arial" w:cs="Arial"/>
          <w:sz w:val="20"/>
          <w:szCs w:val="20"/>
        </w:rPr>
      </w:pPr>
      <w:r w:rsidRPr="00CF01D7">
        <w:rPr>
          <w:rFonts w:ascii="Arial" w:hAnsi="Arial" w:cs="Arial"/>
          <w:sz w:val="20"/>
          <w:szCs w:val="20"/>
        </w:rPr>
        <w:t>If others make a similar submission, I will consider presenting a joint case with them at a hearing.</w:t>
      </w:r>
      <w:r w:rsidRPr="00CF01D7">
        <w:rPr>
          <w:rFonts w:ascii="Arial" w:hAnsi="Arial" w:cs="Arial"/>
          <w:sz w:val="20"/>
          <w:szCs w:val="20"/>
        </w:rPr>
        <w:br/>
      </w:r>
      <w:r w:rsidRPr="00CF01D7">
        <w:rPr>
          <w:rFonts w:ascii="Arial" w:hAnsi="Arial" w:cs="Arial"/>
          <w:sz w:val="20"/>
          <w:szCs w:val="20"/>
        </w:rPr>
        <w:br/>
      </w:r>
      <w:r w:rsidRPr="00CF01D7">
        <w:rPr>
          <w:rFonts w:ascii="Arial" w:hAnsi="Arial" w:cs="Arial"/>
          <w:sz w:val="20"/>
          <w:szCs w:val="20"/>
        </w:rPr>
        <w:br/>
        <w:t>Signature of submitter</w:t>
      </w:r>
      <w:r w:rsidR="00F46226" w:rsidRPr="00CF01D7">
        <w:rPr>
          <w:rFonts w:ascii="Arial" w:hAnsi="Arial" w:cs="Arial"/>
          <w:sz w:val="20"/>
          <w:szCs w:val="20"/>
        </w:rPr>
        <w:t>:</w:t>
      </w:r>
      <w:r w:rsidRPr="00CF01D7">
        <w:rPr>
          <w:rFonts w:ascii="Arial" w:hAnsi="Arial" w:cs="Arial"/>
          <w:sz w:val="20"/>
          <w:szCs w:val="20"/>
        </w:rPr>
        <w:br/>
      </w:r>
      <w:r w:rsidRPr="00CF01D7">
        <w:rPr>
          <w:rFonts w:ascii="Arial" w:hAnsi="Arial" w:cs="Arial"/>
          <w:sz w:val="20"/>
          <w:szCs w:val="20"/>
        </w:rPr>
        <w:br/>
        <w:t>Dated:</w:t>
      </w:r>
      <w:r w:rsidRPr="00CF01D7">
        <w:rPr>
          <w:rFonts w:ascii="Arial" w:hAnsi="Arial" w:cs="Arial"/>
          <w:sz w:val="20"/>
          <w:szCs w:val="20"/>
        </w:rPr>
        <w:br/>
      </w:r>
      <w:r w:rsidRPr="00CF01D7">
        <w:rPr>
          <w:rFonts w:ascii="Arial" w:hAnsi="Arial" w:cs="Arial"/>
          <w:sz w:val="20"/>
          <w:szCs w:val="20"/>
        </w:rPr>
        <w:br/>
        <w:t>Address for service:</w:t>
      </w:r>
      <w:r w:rsidRPr="00CF01D7">
        <w:rPr>
          <w:rFonts w:ascii="Arial" w:hAnsi="Arial" w:cs="Arial"/>
          <w:sz w:val="20"/>
          <w:szCs w:val="20"/>
        </w:rPr>
        <w:br/>
      </w:r>
      <w:r w:rsidRPr="00CF01D7">
        <w:rPr>
          <w:rFonts w:ascii="Arial" w:hAnsi="Arial" w:cs="Arial"/>
          <w:sz w:val="20"/>
          <w:szCs w:val="20"/>
        </w:rPr>
        <w:br/>
        <w:t>Tel:</w:t>
      </w:r>
      <w:r w:rsidRPr="00CF01D7">
        <w:rPr>
          <w:rFonts w:ascii="Arial" w:hAnsi="Arial" w:cs="Arial"/>
          <w:sz w:val="20"/>
          <w:szCs w:val="20"/>
        </w:rPr>
        <w:tab/>
      </w:r>
      <w:r w:rsidRPr="00CF01D7">
        <w:rPr>
          <w:rFonts w:ascii="Arial" w:hAnsi="Arial" w:cs="Arial"/>
          <w:sz w:val="20"/>
          <w:szCs w:val="20"/>
        </w:rPr>
        <w:tab/>
      </w:r>
      <w:r w:rsidRPr="00CF01D7">
        <w:rPr>
          <w:rFonts w:ascii="Arial" w:hAnsi="Arial" w:cs="Arial"/>
          <w:sz w:val="20"/>
          <w:szCs w:val="20"/>
        </w:rPr>
        <w:tab/>
      </w:r>
      <w:r w:rsidRPr="00CF01D7">
        <w:rPr>
          <w:rFonts w:ascii="Arial" w:hAnsi="Arial" w:cs="Arial"/>
          <w:sz w:val="20"/>
          <w:szCs w:val="20"/>
        </w:rPr>
        <w:tab/>
      </w:r>
      <w:r w:rsidRPr="00CF01D7">
        <w:rPr>
          <w:rFonts w:ascii="Arial" w:hAnsi="Arial" w:cs="Arial"/>
          <w:sz w:val="20"/>
          <w:szCs w:val="20"/>
        </w:rPr>
        <w:tab/>
      </w:r>
      <w:r w:rsidRPr="00CF01D7">
        <w:rPr>
          <w:rFonts w:ascii="Arial" w:hAnsi="Arial" w:cs="Arial"/>
          <w:sz w:val="20"/>
          <w:szCs w:val="20"/>
        </w:rPr>
        <w:tab/>
      </w:r>
      <w:r w:rsidRPr="00CF01D7">
        <w:rPr>
          <w:rFonts w:ascii="Arial" w:hAnsi="Arial" w:cs="Arial"/>
          <w:sz w:val="20"/>
          <w:szCs w:val="20"/>
        </w:rPr>
        <w:tab/>
        <w:t>Email:</w:t>
      </w:r>
    </w:p>
    <w:sectPr w:rsidR="00007618" w:rsidRPr="00CF01D7" w:rsidSect="00007618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D344E"/>
    <w:multiLevelType w:val="hybridMultilevel"/>
    <w:tmpl w:val="B0949A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72298"/>
    <w:multiLevelType w:val="hybridMultilevel"/>
    <w:tmpl w:val="C1B23E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4733A"/>
    <w:multiLevelType w:val="hybridMultilevel"/>
    <w:tmpl w:val="6F1636B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25E4E"/>
    <w:multiLevelType w:val="multilevel"/>
    <w:tmpl w:val="1EF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40"/>
    <w:rsid w:val="00007618"/>
    <w:rsid w:val="00061AB9"/>
    <w:rsid w:val="0007123E"/>
    <w:rsid w:val="000F3141"/>
    <w:rsid w:val="001E0FF9"/>
    <w:rsid w:val="0024311F"/>
    <w:rsid w:val="00301E7F"/>
    <w:rsid w:val="003472E3"/>
    <w:rsid w:val="004408ED"/>
    <w:rsid w:val="004B2B40"/>
    <w:rsid w:val="004E2094"/>
    <w:rsid w:val="005B6B40"/>
    <w:rsid w:val="007405D6"/>
    <w:rsid w:val="007950C4"/>
    <w:rsid w:val="00C648D4"/>
    <w:rsid w:val="00CF01D7"/>
    <w:rsid w:val="00DB73FA"/>
    <w:rsid w:val="00DF4C83"/>
    <w:rsid w:val="00E269F5"/>
    <w:rsid w:val="00E75E55"/>
    <w:rsid w:val="00F4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DF9C"/>
  <w15:chartTrackingRefBased/>
  <w15:docId w15:val="{2BC133CB-3CCE-4BA6-B9B4-0BFF835C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B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missions@horizons.govt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Gemma Carroll</cp:lastModifiedBy>
  <cp:revision>5</cp:revision>
  <cp:lastPrinted>2019-09-12T19:19:00Z</cp:lastPrinted>
  <dcterms:created xsi:type="dcterms:W3CDTF">2019-09-06T03:27:00Z</dcterms:created>
  <dcterms:modified xsi:type="dcterms:W3CDTF">2019-09-12T19:19:00Z</dcterms:modified>
</cp:coreProperties>
</file>