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9AAA" w14:textId="004088BC" w:rsidR="004667E6" w:rsidRPr="008644CF" w:rsidRDefault="005164DE" w:rsidP="004667E6">
      <w:pPr>
        <w:outlineLvl w:val="0"/>
        <w:rPr>
          <w:b/>
          <w:bCs/>
          <w:color w:val="1F3864" w:themeColor="accent1" w:themeShade="80"/>
        </w:rPr>
      </w:pPr>
      <w:r w:rsidRPr="008644CF">
        <w:rPr>
          <w:b/>
          <w:bCs/>
          <w:color w:val="1F3864" w:themeColor="accent1" w:themeShade="80"/>
        </w:rPr>
        <w:t>Grower FAQs and comments on Waikato Plan Change 1</w:t>
      </w:r>
      <w:r w:rsidR="008644CF">
        <w:rPr>
          <w:b/>
          <w:bCs/>
          <w:color w:val="1F3864" w:themeColor="accent1" w:themeShade="80"/>
        </w:rPr>
        <w:t xml:space="preserve"> – June 2020</w:t>
      </w:r>
      <w:r w:rsidR="007D66FD">
        <w:rPr>
          <w:b/>
          <w:bCs/>
          <w:color w:val="1F3864" w:themeColor="accent1" w:themeShade="80"/>
        </w:rPr>
        <w:t xml:space="preserve">                   </w:t>
      </w:r>
      <w:r w:rsidR="007D66FD">
        <w:rPr>
          <w:b/>
          <w:bCs/>
          <w:noProof/>
          <w:color w:val="1F3864" w:themeColor="accent1" w:themeShade="80"/>
        </w:rPr>
        <w:drawing>
          <wp:inline distT="0" distB="0" distL="0" distR="0" wp14:anchorId="6D1EF7CD" wp14:editId="55C01416">
            <wp:extent cx="1409700" cy="685292"/>
            <wp:effectExtent l="0" t="0" r="0" b="635"/>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atoes NZ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102" cy="692293"/>
                    </a:xfrm>
                    <a:prstGeom prst="rect">
                      <a:avLst/>
                    </a:prstGeom>
                  </pic:spPr>
                </pic:pic>
              </a:graphicData>
            </a:graphic>
          </wp:inline>
        </w:drawing>
      </w:r>
    </w:p>
    <w:p w14:paraId="1DDC16AB" w14:textId="77777777" w:rsidR="004667E6" w:rsidRDefault="004667E6" w:rsidP="004667E6">
      <w:pPr>
        <w:rPr>
          <w:lang w:val="en-NZ"/>
        </w:rPr>
      </w:pPr>
    </w:p>
    <w:p w14:paraId="4AB27524" w14:textId="1DCAB029" w:rsidR="005164DE" w:rsidRPr="008644CF" w:rsidRDefault="004667E6" w:rsidP="008644CF">
      <w:pPr>
        <w:numPr>
          <w:ilvl w:val="0"/>
          <w:numId w:val="1"/>
        </w:numPr>
        <w:rPr>
          <w:rFonts w:eastAsia="Times New Roman"/>
          <w:i/>
          <w:iCs/>
          <w:lang w:val="en-NZ"/>
        </w:rPr>
      </w:pPr>
      <w:r w:rsidRPr="005164DE">
        <w:rPr>
          <w:rFonts w:eastAsia="Times New Roman"/>
          <w:i/>
          <w:iCs/>
          <w:lang w:val="en-NZ"/>
        </w:rPr>
        <w:t xml:space="preserve">There are too many unknowns and not enough clarity in the proposed PC1 policy. </w:t>
      </w:r>
    </w:p>
    <w:p w14:paraId="35BEBDF5" w14:textId="64271737" w:rsidR="005164DE" w:rsidRPr="005164DE" w:rsidRDefault="005164DE" w:rsidP="005164DE">
      <w:pPr>
        <w:pStyle w:val="CommentText"/>
        <w:ind w:firstLine="720"/>
        <w:rPr>
          <w:sz w:val="22"/>
          <w:szCs w:val="22"/>
        </w:rPr>
      </w:pPr>
      <w:r w:rsidRPr="005164DE">
        <w:rPr>
          <w:sz w:val="22"/>
          <w:szCs w:val="22"/>
        </w:rPr>
        <w:t>That is the case, but here is what we do know:</w:t>
      </w:r>
    </w:p>
    <w:p w14:paraId="718A3053" w14:textId="0EC06191" w:rsidR="005164DE" w:rsidRPr="008644CF" w:rsidRDefault="005164DE" w:rsidP="005164DE">
      <w:pPr>
        <w:pStyle w:val="CommentText"/>
        <w:numPr>
          <w:ilvl w:val="0"/>
          <w:numId w:val="2"/>
        </w:numPr>
        <w:rPr>
          <w:b/>
          <w:bCs/>
          <w:color w:val="1F3864" w:themeColor="accent1" w:themeShade="80"/>
          <w:sz w:val="22"/>
          <w:szCs w:val="22"/>
        </w:rPr>
      </w:pPr>
      <w:r w:rsidRPr="008644CF">
        <w:rPr>
          <w:b/>
          <w:bCs/>
          <w:color w:val="1F3864" w:themeColor="accent1" w:themeShade="80"/>
          <w:sz w:val="22"/>
          <w:szCs w:val="22"/>
        </w:rPr>
        <w:t xml:space="preserve">There is a tailored approach to commercial vegetable </w:t>
      </w:r>
      <w:r w:rsidR="0066057A">
        <w:rPr>
          <w:b/>
          <w:bCs/>
          <w:color w:val="1F3864" w:themeColor="accent1" w:themeShade="80"/>
          <w:sz w:val="22"/>
          <w:szCs w:val="22"/>
        </w:rPr>
        <w:t>production (CVP)</w:t>
      </w:r>
      <w:r w:rsidRPr="008644CF">
        <w:rPr>
          <w:b/>
          <w:bCs/>
          <w:color w:val="1F3864" w:themeColor="accent1" w:themeShade="80"/>
          <w:sz w:val="22"/>
          <w:szCs w:val="22"/>
        </w:rPr>
        <w:t>. Almost every previous regime proved unworkable without a tailored approach</w:t>
      </w:r>
    </w:p>
    <w:p w14:paraId="5D6CD590" w14:textId="150973D0" w:rsidR="005164DE" w:rsidRPr="008644CF" w:rsidRDefault="005164DE" w:rsidP="005164DE">
      <w:pPr>
        <w:pStyle w:val="CommentText"/>
        <w:numPr>
          <w:ilvl w:val="0"/>
          <w:numId w:val="2"/>
        </w:numPr>
        <w:rPr>
          <w:b/>
          <w:bCs/>
          <w:color w:val="1F3864" w:themeColor="accent1" w:themeShade="80"/>
          <w:sz w:val="22"/>
          <w:szCs w:val="22"/>
        </w:rPr>
      </w:pPr>
      <w:r w:rsidRPr="008644CF">
        <w:rPr>
          <w:b/>
          <w:bCs/>
          <w:color w:val="1F3864" w:themeColor="accent1" w:themeShade="80"/>
          <w:sz w:val="22"/>
          <w:szCs w:val="22"/>
        </w:rPr>
        <w:t>There is a pathway (as asked for by growers) to continue rotation across multiple parcels as a controlled activity, at a scale similar to existing use</w:t>
      </w:r>
    </w:p>
    <w:p w14:paraId="3349E76E" w14:textId="1621D3F7" w:rsidR="005164DE" w:rsidRPr="008644CF" w:rsidRDefault="005164DE" w:rsidP="005164DE">
      <w:pPr>
        <w:pStyle w:val="CommentText"/>
        <w:numPr>
          <w:ilvl w:val="0"/>
          <w:numId w:val="2"/>
        </w:numPr>
        <w:rPr>
          <w:b/>
          <w:bCs/>
          <w:color w:val="1F3864" w:themeColor="accent1" w:themeShade="80"/>
          <w:sz w:val="22"/>
          <w:szCs w:val="22"/>
        </w:rPr>
      </w:pPr>
      <w:r w:rsidRPr="008644CF">
        <w:rPr>
          <w:b/>
          <w:bCs/>
          <w:color w:val="1F3864" w:themeColor="accent1" w:themeShade="80"/>
          <w:sz w:val="22"/>
          <w:szCs w:val="22"/>
        </w:rPr>
        <w:t xml:space="preserve">There is some limited scope for growth – although not ideal. There is </w:t>
      </w:r>
      <w:r w:rsidR="001D59BE" w:rsidRPr="00D76B27">
        <w:rPr>
          <w:b/>
          <w:bCs/>
          <w:color w:val="1F3864" w:themeColor="accent1" w:themeShade="80"/>
          <w:sz w:val="22"/>
          <w:szCs w:val="22"/>
        </w:rPr>
        <w:t>also limited</w:t>
      </w:r>
      <w:r w:rsidRPr="008644CF">
        <w:rPr>
          <w:b/>
          <w:bCs/>
          <w:color w:val="1F3864" w:themeColor="accent1" w:themeShade="80"/>
          <w:sz w:val="22"/>
          <w:szCs w:val="22"/>
        </w:rPr>
        <w:t xml:space="preserve"> scope for growth in other activities including dairy.</w:t>
      </w:r>
    </w:p>
    <w:p w14:paraId="5D9845E8" w14:textId="77777777" w:rsidR="005164DE" w:rsidRDefault="005164DE" w:rsidP="005164DE">
      <w:pPr>
        <w:ind w:left="720"/>
        <w:rPr>
          <w:rFonts w:eastAsia="Times New Roman"/>
          <w:lang w:val="en-NZ"/>
        </w:rPr>
      </w:pPr>
    </w:p>
    <w:p w14:paraId="4626D304" w14:textId="56CD092E" w:rsidR="004667E6" w:rsidRPr="005164DE" w:rsidRDefault="004667E6" w:rsidP="004667E6">
      <w:pPr>
        <w:numPr>
          <w:ilvl w:val="0"/>
          <w:numId w:val="1"/>
        </w:numPr>
        <w:rPr>
          <w:rFonts w:eastAsia="Times New Roman"/>
          <w:i/>
          <w:iCs/>
          <w:lang w:val="en-NZ"/>
        </w:rPr>
      </w:pPr>
      <w:r w:rsidRPr="005164DE">
        <w:rPr>
          <w:rFonts w:eastAsia="Times New Roman"/>
          <w:i/>
          <w:iCs/>
          <w:lang w:val="en-NZ"/>
        </w:rPr>
        <w:t xml:space="preserve">The proposed rules around who owns the consent is resulting in perverse outcomes. Land that has been growing vegetables for 60 plus years could all of a sudden not </w:t>
      </w:r>
      <w:r w:rsidR="005164DE">
        <w:rPr>
          <w:rFonts w:eastAsia="Times New Roman"/>
          <w:i/>
          <w:iCs/>
          <w:lang w:val="en-NZ"/>
        </w:rPr>
        <w:t xml:space="preserve">be </w:t>
      </w:r>
      <w:r w:rsidRPr="005164DE">
        <w:rPr>
          <w:rFonts w:eastAsia="Times New Roman"/>
          <w:i/>
          <w:iCs/>
          <w:lang w:val="en-NZ"/>
        </w:rPr>
        <w:t xml:space="preserve">allowed to continue </w:t>
      </w:r>
      <w:r w:rsidR="008644CF">
        <w:rPr>
          <w:rFonts w:eastAsia="Times New Roman"/>
          <w:i/>
          <w:iCs/>
          <w:lang w:val="en-NZ"/>
        </w:rPr>
        <w:t xml:space="preserve">to </w:t>
      </w:r>
      <w:r w:rsidRPr="005164DE">
        <w:rPr>
          <w:rFonts w:eastAsia="Times New Roman"/>
          <w:i/>
          <w:iCs/>
          <w:lang w:val="en-NZ"/>
        </w:rPr>
        <w:t>do so</w:t>
      </w:r>
      <w:r w:rsidR="005164DE">
        <w:rPr>
          <w:rFonts w:eastAsia="Times New Roman"/>
          <w:i/>
          <w:iCs/>
          <w:lang w:val="en-NZ"/>
        </w:rPr>
        <w:t>,</w:t>
      </w:r>
      <w:r w:rsidRPr="005164DE">
        <w:rPr>
          <w:rFonts w:eastAsia="Times New Roman"/>
          <w:i/>
          <w:iCs/>
          <w:lang w:val="en-NZ"/>
        </w:rPr>
        <w:t xml:space="preserve"> if the grower sells that block of land or doesn’t renew the </w:t>
      </w:r>
      <w:r w:rsidR="00E53069" w:rsidRPr="005164DE">
        <w:rPr>
          <w:rFonts w:eastAsia="Times New Roman"/>
          <w:i/>
          <w:iCs/>
          <w:lang w:val="en-NZ"/>
        </w:rPr>
        <w:t xml:space="preserve">lease. That’s assuming </w:t>
      </w:r>
      <w:r w:rsidRPr="005164DE">
        <w:rPr>
          <w:rFonts w:eastAsia="Times New Roman"/>
          <w:i/>
          <w:iCs/>
          <w:lang w:val="en-NZ"/>
        </w:rPr>
        <w:t xml:space="preserve">the grower owns the consent to grow himself. </w:t>
      </w:r>
    </w:p>
    <w:p w14:paraId="1C895B2E" w14:textId="5B498318" w:rsidR="005164DE" w:rsidRPr="008644CF" w:rsidRDefault="005164DE" w:rsidP="000315B4">
      <w:pPr>
        <w:pStyle w:val="CommentText"/>
        <w:numPr>
          <w:ilvl w:val="0"/>
          <w:numId w:val="6"/>
        </w:numPr>
        <w:rPr>
          <w:b/>
          <w:bCs/>
          <w:color w:val="1F3864" w:themeColor="accent1" w:themeShade="80"/>
          <w:sz w:val="22"/>
          <w:szCs w:val="22"/>
        </w:rPr>
      </w:pPr>
      <w:r w:rsidRPr="008644CF">
        <w:rPr>
          <w:b/>
          <w:bCs/>
          <w:color w:val="1F3864" w:themeColor="accent1" w:themeShade="80"/>
          <w:sz w:val="22"/>
          <w:szCs w:val="22"/>
        </w:rPr>
        <w:t xml:space="preserve">If the grower sells it </w:t>
      </w:r>
      <w:r w:rsidR="000315B4" w:rsidRPr="008644CF">
        <w:rPr>
          <w:b/>
          <w:bCs/>
          <w:color w:val="1F3864" w:themeColor="accent1" w:themeShade="80"/>
          <w:sz w:val="22"/>
          <w:szCs w:val="22"/>
        </w:rPr>
        <w:t>as</w:t>
      </w:r>
      <w:r w:rsidRPr="008644CF">
        <w:rPr>
          <w:b/>
          <w:bCs/>
          <w:color w:val="1F3864" w:themeColor="accent1" w:themeShade="80"/>
          <w:sz w:val="22"/>
          <w:szCs w:val="22"/>
        </w:rPr>
        <w:t xml:space="preserve"> a commercial vegetable farm</w:t>
      </w:r>
      <w:r w:rsidR="000315B4" w:rsidRPr="008644CF">
        <w:rPr>
          <w:b/>
          <w:bCs/>
          <w:color w:val="1F3864" w:themeColor="accent1" w:themeShade="80"/>
          <w:sz w:val="22"/>
          <w:szCs w:val="22"/>
        </w:rPr>
        <w:t>,</w:t>
      </w:r>
      <w:r w:rsidRPr="008644CF">
        <w:rPr>
          <w:b/>
          <w:bCs/>
          <w:color w:val="1F3864" w:themeColor="accent1" w:themeShade="80"/>
          <w:sz w:val="22"/>
          <w:szCs w:val="22"/>
        </w:rPr>
        <w:t xml:space="preserve"> an application can be made to transfer a proportion of the entitlement. If a grower does not renew the lease</w:t>
      </w:r>
      <w:r w:rsidR="000315B4" w:rsidRPr="008644CF">
        <w:rPr>
          <w:b/>
          <w:bCs/>
          <w:color w:val="1F3864" w:themeColor="accent1" w:themeShade="80"/>
          <w:sz w:val="22"/>
          <w:szCs w:val="22"/>
        </w:rPr>
        <w:t>,</w:t>
      </w:r>
      <w:r w:rsidRPr="008644CF">
        <w:rPr>
          <w:b/>
          <w:bCs/>
          <w:color w:val="1F3864" w:themeColor="accent1" w:themeShade="80"/>
          <w:sz w:val="22"/>
          <w:szCs w:val="22"/>
        </w:rPr>
        <w:t xml:space="preserve"> it does not prevent another grower with consent</w:t>
      </w:r>
      <w:r w:rsidR="000315B4" w:rsidRPr="008644CF">
        <w:rPr>
          <w:b/>
          <w:bCs/>
          <w:color w:val="1F3864" w:themeColor="accent1" w:themeShade="80"/>
          <w:sz w:val="22"/>
          <w:szCs w:val="22"/>
        </w:rPr>
        <w:t>,</w:t>
      </w:r>
      <w:r w:rsidRPr="008644CF">
        <w:rPr>
          <w:b/>
          <w:bCs/>
          <w:color w:val="1F3864" w:themeColor="accent1" w:themeShade="80"/>
          <w:sz w:val="22"/>
          <w:szCs w:val="22"/>
        </w:rPr>
        <w:t xml:space="preserve"> utilizing </w:t>
      </w:r>
      <w:r w:rsidR="000315B4" w:rsidRPr="008644CF">
        <w:rPr>
          <w:b/>
          <w:bCs/>
          <w:color w:val="1F3864" w:themeColor="accent1" w:themeShade="80"/>
          <w:sz w:val="22"/>
          <w:szCs w:val="22"/>
        </w:rPr>
        <w:t xml:space="preserve">the </w:t>
      </w:r>
      <w:r w:rsidRPr="008644CF">
        <w:rPr>
          <w:b/>
          <w:bCs/>
          <w:color w:val="1F3864" w:themeColor="accent1" w:themeShade="80"/>
          <w:sz w:val="22"/>
          <w:szCs w:val="22"/>
        </w:rPr>
        <w:t>land for CVP.</w:t>
      </w:r>
    </w:p>
    <w:p w14:paraId="0960CA74" w14:textId="77777777" w:rsidR="005164DE" w:rsidRDefault="005164DE" w:rsidP="005164DE">
      <w:pPr>
        <w:rPr>
          <w:rFonts w:eastAsia="Times New Roman"/>
          <w:lang w:val="en-NZ"/>
        </w:rPr>
      </w:pPr>
    </w:p>
    <w:p w14:paraId="5A7A2096" w14:textId="3158D117" w:rsidR="004667E6" w:rsidRPr="000315B4" w:rsidRDefault="004667E6" w:rsidP="004667E6">
      <w:pPr>
        <w:numPr>
          <w:ilvl w:val="0"/>
          <w:numId w:val="1"/>
        </w:numPr>
        <w:rPr>
          <w:rFonts w:eastAsia="Times New Roman"/>
          <w:i/>
          <w:iCs/>
          <w:lang w:val="en-NZ"/>
        </w:rPr>
      </w:pPr>
      <w:r w:rsidRPr="000315B4">
        <w:rPr>
          <w:rFonts w:eastAsia="Times New Roman"/>
          <w:i/>
          <w:iCs/>
          <w:lang w:val="en-NZ"/>
        </w:rPr>
        <w:t>We don’t see any actual  environmental benefits arising from getting all growers  to apply for consents and essentially be registered.  All we can see is an increase in bureaucracy and costs, which we growers will have to pay for.</w:t>
      </w:r>
    </w:p>
    <w:p w14:paraId="44552437" w14:textId="7AA174E8" w:rsidR="008644CF" w:rsidRDefault="005164DE" w:rsidP="000315B4">
      <w:pPr>
        <w:pStyle w:val="CommentText"/>
        <w:numPr>
          <w:ilvl w:val="0"/>
          <w:numId w:val="6"/>
        </w:numPr>
        <w:rPr>
          <w:b/>
          <w:bCs/>
          <w:color w:val="1F3864" w:themeColor="accent1" w:themeShade="80"/>
          <w:sz w:val="22"/>
          <w:szCs w:val="22"/>
        </w:rPr>
      </w:pPr>
      <w:r w:rsidRPr="008644CF">
        <w:rPr>
          <w:b/>
          <w:bCs/>
          <w:color w:val="1F3864" w:themeColor="accent1" w:themeShade="80"/>
          <w:sz w:val="22"/>
          <w:szCs w:val="22"/>
        </w:rPr>
        <w:t>A consent is targeted at benefiting growers</w:t>
      </w:r>
      <w:r w:rsidR="008644CF">
        <w:rPr>
          <w:b/>
          <w:bCs/>
          <w:color w:val="1F3864" w:themeColor="accent1" w:themeShade="80"/>
          <w:sz w:val="22"/>
          <w:szCs w:val="22"/>
        </w:rPr>
        <w:t>,</w:t>
      </w:r>
      <w:r w:rsidRPr="008644CF">
        <w:rPr>
          <w:b/>
          <w:bCs/>
          <w:color w:val="1F3864" w:themeColor="accent1" w:themeShade="80"/>
          <w:sz w:val="22"/>
          <w:szCs w:val="22"/>
        </w:rPr>
        <w:t xml:space="preserve"> by securing for a certain period</w:t>
      </w:r>
      <w:r w:rsidR="008644CF">
        <w:rPr>
          <w:b/>
          <w:bCs/>
          <w:color w:val="1F3864" w:themeColor="accent1" w:themeShade="80"/>
          <w:sz w:val="22"/>
          <w:szCs w:val="22"/>
        </w:rPr>
        <w:t>,</w:t>
      </w:r>
      <w:r w:rsidRPr="008644CF">
        <w:rPr>
          <w:b/>
          <w:bCs/>
          <w:color w:val="1F3864" w:themeColor="accent1" w:themeShade="80"/>
          <w:sz w:val="22"/>
          <w:szCs w:val="22"/>
        </w:rPr>
        <w:t xml:space="preserve"> the right to undertake commercial vegetable production beyond the next plan change or national </w:t>
      </w:r>
      <w:r w:rsidR="005D74BE">
        <w:rPr>
          <w:b/>
          <w:bCs/>
          <w:color w:val="1F3864" w:themeColor="accent1" w:themeShade="80"/>
          <w:sz w:val="22"/>
          <w:szCs w:val="22"/>
        </w:rPr>
        <w:t xml:space="preserve">change </w:t>
      </w:r>
      <w:r w:rsidR="005D74BE" w:rsidRPr="008644CF">
        <w:rPr>
          <w:b/>
          <w:bCs/>
          <w:color w:val="1F3864" w:themeColor="accent1" w:themeShade="80"/>
          <w:sz w:val="22"/>
          <w:szCs w:val="22"/>
        </w:rPr>
        <w:t>happening</w:t>
      </w:r>
      <w:r w:rsidRPr="008644CF">
        <w:rPr>
          <w:b/>
          <w:bCs/>
          <w:color w:val="1F3864" w:themeColor="accent1" w:themeShade="80"/>
          <w:sz w:val="22"/>
          <w:szCs w:val="22"/>
        </w:rPr>
        <w:t xml:space="preserve">. </w:t>
      </w:r>
    </w:p>
    <w:p w14:paraId="1CFE9065" w14:textId="77777777" w:rsidR="008644CF" w:rsidRDefault="005164DE" w:rsidP="000315B4">
      <w:pPr>
        <w:pStyle w:val="CommentText"/>
        <w:numPr>
          <w:ilvl w:val="0"/>
          <w:numId w:val="6"/>
        </w:numPr>
        <w:rPr>
          <w:b/>
          <w:bCs/>
          <w:color w:val="1F3864" w:themeColor="accent1" w:themeShade="80"/>
          <w:sz w:val="22"/>
          <w:szCs w:val="22"/>
        </w:rPr>
      </w:pPr>
      <w:r w:rsidRPr="008644CF">
        <w:rPr>
          <w:b/>
          <w:bCs/>
          <w:color w:val="1F3864" w:themeColor="accent1" w:themeShade="80"/>
          <w:sz w:val="22"/>
          <w:szCs w:val="22"/>
        </w:rPr>
        <w:t>There is increased bureaucracy and cost</w:t>
      </w:r>
      <w:r w:rsidR="008644CF">
        <w:rPr>
          <w:b/>
          <w:bCs/>
          <w:color w:val="1F3864" w:themeColor="accent1" w:themeShade="80"/>
          <w:sz w:val="22"/>
          <w:szCs w:val="22"/>
        </w:rPr>
        <w:t xml:space="preserve"> and</w:t>
      </w:r>
      <w:r w:rsidRPr="008644CF">
        <w:rPr>
          <w:b/>
          <w:bCs/>
          <w:color w:val="1F3864" w:themeColor="accent1" w:themeShade="80"/>
          <w:sz w:val="22"/>
          <w:szCs w:val="22"/>
        </w:rPr>
        <w:t xml:space="preserve"> there is also greater certainty that the grower has rights and interests that have been squarely allocated to the grower. The rights are like water consents in some respects</w:t>
      </w:r>
      <w:r w:rsidR="008644CF">
        <w:rPr>
          <w:b/>
          <w:bCs/>
          <w:color w:val="1F3864" w:themeColor="accent1" w:themeShade="80"/>
          <w:sz w:val="22"/>
          <w:szCs w:val="22"/>
        </w:rPr>
        <w:t xml:space="preserve">. </w:t>
      </w:r>
    </w:p>
    <w:p w14:paraId="1E636880" w14:textId="52BC4DB9" w:rsidR="005164DE" w:rsidRPr="008644CF" w:rsidRDefault="008644CF" w:rsidP="000315B4">
      <w:pPr>
        <w:pStyle w:val="CommentText"/>
        <w:numPr>
          <w:ilvl w:val="0"/>
          <w:numId w:val="6"/>
        </w:numPr>
        <w:rPr>
          <w:b/>
          <w:bCs/>
          <w:color w:val="1F3864" w:themeColor="accent1" w:themeShade="80"/>
          <w:sz w:val="22"/>
          <w:szCs w:val="22"/>
        </w:rPr>
      </w:pPr>
      <w:r>
        <w:rPr>
          <w:b/>
          <w:bCs/>
          <w:color w:val="1F3864" w:themeColor="accent1" w:themeShade="80"/>
          <w:sz w:val="22"/>
          <w:szCs w:val="22"/>
        </w:rPr>
        <w:t>T</w:t>
      </w:r>
      <w:r w:rsidR="000315B4" w:rsidRPr="008644CF">
        <w:rPr>
          <w:b/>
          <w:bCs/>
          <w:color w:val="1F3864" w:themeColor="accent1" w:themeShade="80"/>
          <w:sz w:val="22"/>
          <w:szCs w:val="22"/>
        </w:rPr>
        <w:t>he environmental benefits are predicted by research already undertaken and will be seen in years to come in water quality.</w:t>
      </w:r>
    </w:p>
    <w:p w14:paraId="375A27D0" w14:textId="77777777" w:rsidR="005164DE" w:rsidRDefault="005164DE" w:rsidP="005164DE">
      <w:pPr>
        <w:ind w:left="720"/>
        <w:rPr>
          <w:rFonts w:eastAsia="Times New Roman"/>
          <w:lang w:val="en-NZ"/>
        </w:rPr>
      </w:pPr>
    </w:p>
    <w:p w14:paraId="1A40F60F" w14:textId="6A8F5D56" w:rsidR="004667E6" w:rsidRPr="000315B4" w:rsidRDefault="004667E6" w:rsidP="004667E6">
      <w:pPr>
        <w:numPr>
          <w:ilvl w:val="0"/>
          <w:numId w:val="1"/>
        </w:numPr>
        <w:rPr>
          <w:rFonts w:eastAsia="Times New Roman"/>
          <w:i/>
          <w:iCs/>
          <w:lang w:val="en-NZ"/>
        </w:rPr>
      </w:pPr>
      <w:r w:rsidRPr="000315B4">
        <w:rPr>
          <w:rFonts w:eastAsia="Times New Roman"/>
          <w:i/>
          <w:iCs/>
          <w:lang w:val="en-NZ"/>
        </w:rPr>
        <w:t xml:space="preserve">Because of the aforementioned reasons , we believe that  growing fresh vegetables should remain a permitted activity. </w:t>
      </w:r>
    </w:p>
    <w:p w14:paraId="14718B03" w14:textId="5E3EC2CC" w:rsidR="005164DE" w:rsidRPr="008644CF" w:rsidRDefault="000315B4" w:rsidP="000315B4">
      <w:pPr>
        <w:pStyle w:val="CommentText"/>
        <w:numPr>
          <w:ilvl w:val="0"/>
          <w:numId w:val="6"/>
        </w:numPr>
        <w:rPr>
          <w:b/>
          <w:bCs/>
          <w:color w:val="1F3864" w:themeColor="accent1" w:themeShade="80"/>
          <w:sz w:val="22"/>
          <w:szCs w:val="22"/>
        </w:rPr>
      </w:pPr>
      <w:r w:rsidRPr="008644CF">
        <w:rPr>
          <w:b/>
          <w:bCs/>
          <w:color w:val="1F3864" w:themeColor="accent1" w:themeShade="80"/>
          <w:sz w:val="22"/>
          <w:szCs w:val="22"/>
        </w:rPr>
        <w:t xml:space="preserve">Vegetable growing as a permitted activity will simply no longer be possible. </w:t>
      </w:r>
      <w:r w:rsidR="005164DE" w:rsidRPr="008644CF">
        <w:rPr>
          <w:b/>
          <w:bCs/>
          <w:color w:val="1F3864" w:themeColor="accent1" w:themeShade="80"/>
          <w:sz w:val="22"/>
          <w:szCs w:val="22"/>
        </w:rPr>
        <w:t>Research leading into PC1 showed very high leaching. Further research underway now is providing lower results</w:t>
      </w:r>
      <w:r w:rsidRPr="008644CF">
        <w:rPr>
          <w:b/>
          <w:bCs/>
          <w:color w:val="1F3864" w:themeColor="accent1" w:themeShade="80"/>
          <w:sz w:val="22"/>
          <w:szCs w:val="22"/>
        </w:rPr>
        <w:t>,</w:t>
      </w:r>
      <w:r w:rsidR="005164DE" w:rsidRPr="008644CF">
        <w:rPr>
          <w:b/>
          <w:bCs/>
          <w:color w:val="1F3864" w:themeColor="accent1" w:themeShade="80"/>
          <w:sz w:val="22"/>
          <w:szCs w:val="22"/>
        </w:rPr>
        <w:t xml:space="preserve"> but not enough to safely argue for a permitted activity regime. Hort</w:t>
      </w:r>
      <w:r w:rsidRPr="008644CF">
        <w:rPr>
          <w:b/>
          <w:bCs/>
          <w:color w:val="1F3864" w:themeColor="accent1" w:themeShade="80"/>
          <w:sz w:val="22"/>
          <w:szCs w:val="22"/>
        </w:rPr>
        <w:t xml:space="preserve"> </w:t>
      </w:r>
      <w:r w:rsidR="005164DE" w:rsidRPr="008644CF">
        <w:rPr>
          <w:b/>
          <w:bCs/>
          <w:color w:val="1F3864" w:themeColor="accent1" w:themeShade="80"/>
          <w:sz w:val="22"/>
          <w:szCs w:val="22"/>
        </w:rPr>
        <w:t xml:space="preserve">NZ went all the way to High Court seeking permitted activity under the One Plan and lost. </w:t>
      </w:r>
    </w:p>
    <w:p w14:paraId="18FC9359" w14:textId="77777777" w:rsidR="005164DE" w:rsidRPr="000315B4" w:rsidRDefault="005164DE" w:rsidP="005164DE">
      <w:pPr>
        <w:ind w:left="720"/>
        <w:rPr>
          <w:rFonts w:eastAsia="Times New Roman"/>
          <w:lang w:val="en-NZ"/>
        </w:rPr>
      </w:pPr>
    </w:p>
    <w:p w14:paraId="492C4F93" w14:textId="3BFD5BF4" w:rsidR="004667E6" w:rsidRPr="000315B4" w:rsidRDefault="004667E6" w:rsidP="004667E6">
      <w:pPr>
        <w:numPr>
          <w:ilvl w:val="0"/>
          <w:numId w:val="1"/>
        </w:numPr>
        <w:rPr>
          <w:rFonts w:eastAsia="Times New Roman"/>
          <w:i/>
          <w:iCs/>
          <w:lang w:val="en-NZ"/>
        </w:rPr>
      </w:pPr>
      <w:r w:rsidRPr="000315B4">
        <w:rPr>
          <w:rFonts w:eastAsia="Times New Roman"/>
          <w:i/>
          <w:iCs/>
          <w:lang w:val="en-NZ"/>
        </w:rPr>
        <w:t xml:space="preserve">We have been consulted throughout this long and drawn out process, but feel we have been groomed to accept the pre-determined policy from council.  As an industry we need to grow a backbone and start pushing for what growers believe and want. </w:t>
      </w:r>
    </w:p>
    <w:p w14:paraId="43F5A819" w14:textId="1664B7FA" w:rsidR="004667E6" w:rsidRPr="001158EE" w:rsidRDefault="005164DE" w:rsidP="004667E6">
      <w:pPr>
        <w:pStyle w:val="CommentText"/>
        <w:numPr>
          <w:ilvl w:val="0"/>
          <w:numId w:val="6"/>
        </w:numPr>
        <w:rPr>
          <w:b/>
          <w:bCs/>
          <w:color w:val="1F3864" w:themeColor="accent1" w:themeShade="80"/>
          <w:sz w:val="22"/>
          <w:szCs w:val="22"/>
        </w:rPr>
      </w:pPr>
      <w:r w:rsidRPr="008644CF">
        <w:rPr>
          <w:b/>
          <w:bCs/>
          <w:color w:val="1F3864" w:themeColor="accent1" w:themeShade="80"/>
          <w:sz w:val="22"/>
          <w:szCs w:val="22"/>
        </w:rPr>
        <w:t>The policy was not predetermined by Council</w:t>
      </w:r>
      <w:r w:rsidR="000315B4" w:rsidRPr="008644CF">
        <w:rPr>
          <w:b/>
          <w:bCs/>
          <w:color w:val="1F3864" w:themeColor="accent1" w:themeShade="80"/>
          <w:sz w:val="22"/>
          <w:szCs w:val="22"/>
        </w:rPr>
        <w:t>,</w:t>
      </w:r>
      <w:r w:rsidRPr="008644CF">
        <w:rPr>
          <w:b/>
          <w:bCs/>
          <w:color w:val="1F3864" w:themeColor="accent1" w:themeShade="80"/>
          <w:sz w:val="22"/>
          <w:szCs w:val="22"/>
        </w:rPr>
        <w:t xml:space="preserve"> it was the result of Treaty Settlement and national legislation. The only scope</w:t>
      </w:r>
      <w:r w:rsidR="000315B4" w:rsidRPr="008644CF">
        <w:rPr>
          <w:b/>
          <w:bCs/>
          <w:color w:val="1F3864" w:themeColor="accent1" w:themeShade="80"/>
          <w:sz w:val="22"/>
          <w:szCs w:val="22"/>
        </w:rPr>
        <w:t xml:space="preserve"> as an industry,</w:t>
      </w:r>
      <w:r w:rsidRPr="008644CF">
        <w:rPr>
          <w:b/>
          <w:bCs/>
          <w:color w:val="1F3864" w:themeColor="accent1" w:themeShade="80"/>
          <w:sz w:val="22"/>
          <w:szCs w:val="22"/>
        </w:rPr>
        <w:t xml:space="preserve"> was to work out how we were regulated; Hort</w:t>
      </w:r>
      <w:r w:rsidR="000315B4" w:rsidRPr="008644CF">
        <w:rPr>
          <w:b/>
          <w:bCs/>
          <w:color w:val="1F3864" w:themeColor="accent1" w:themeShade="80"/>
          <w:sz w:val="22"/>
          <w:szCs w:val="22"/>
        </w:rPr>
        <w:t xml:space="preserve"> </w:t>
      </w:r>
      <w:r w:rsidRPr="008644CF">
        <w:rPr>
          <w:b/>
          <w:bCs/>
          <w:color w:val="1F3864" w:themeColor="accent1" w:themeShade="80"/>
          <w:sz w:val="22"/>
          <w:szCs w:val="22"/>
        </w:rPr>
        <w:t xml:space="preserve">NZ </w:t>
      </w:r>
      <w:r w:rsidR="00F252C4">
        <w:rPr>
          <w:b/>
          <w:bCs/>
          <w:color w:val="1F3864" w:themeColor="accent1" w:themeShade="80"/>
          <w:sz w:val="22"/>
          <w:szCs w:val="22"/>
        </w:rPr>
        <w:t xml:space="preserve">and PNZ </w:t>
      </w:r>
      <w:r w:rsidR="005D74BE" w:rsidRPr="008644CF">
        <w:rPr>
          <w:b/>
          <w:bCs/>
          <w:color w:val="1F3864" w:themeColor="accent1" w:themeShade="80"/>
          <w:sz w:val="22"/>
          <w:szCs w:val="22"/>
        </w:rPr>
        <w:t>endeavored</w:t>
      </w:r>
      <w:r w:rsidRPr="008644CF">
        <w:rPr>
          <w:b/>
          <w:bCs/>
          <w:color w:val="1F3864" w:themeColor="accent1" w:themeShade="80"/>
          <w:sz w:val="22"/>
          <w:szCs w:val="22"/>
        </w:rPr>
        <w:t xml:space="preserve"> to achieve workable regulation within those</w:t>
      </w:r>
      <w:r w:rsidR="00F252C4">
        <w:rPr>
          <w:b/>
          <w:bCs/>
          <w:color w:val="1F3864" w:themeColor="accent1" w:themeShade="80"/>
          <w:sz w:val="22"/>
          <w:szCs w:val="22"/>
        </w:rPr>
        <w:t xml:space="preserve"> bounds</w:t>
      </w:r>
      <w:r w:rsidRPr="008644CF">
        <w:rPr>
          <w:b/>
          <w:bCs/>
          <w:color w:val="1F3864" w:themeColor="accent1" w:themeShade="80"/>
          <w:sz w:val="22"/>
          <w:szCs w:val="22"/>
        </w:rPr>
        <w:t>.</w:t>
      </w:r>
    </w:p>
    <w:p w14:paraId="0FE7C639" w14:textId="77777777" w:rsidR="000315B4" w:rsidRDefault="000315B4" w:rsidP="004667E6">
      <w:pPr>
        <w:rPr>
          <w:lang w:val="en-NZ"/>
        </w:rPr>
      </w:pPr>
    </w:p>
    <w:p w14:paraId="00F0D30D" w14:textId="633CD1E4" w:rsidR="000315B4" w:rsidRDefault="004667E6" w:rsidP="000315B4">
      <w:pPr>
        <w:pStyle w:val="ListParagraph"/>
        <w:numPr>
          <w:ilvl w:val="0"/>
          <w:numId w:val="1"/>
        </w:numPr>
        <w:rPr>
          <w:lang w:val="en-NZ"/>
        </w:rPr>
      </w:pPr>
      <w:r w:rsidRPr="000315B4">
        <w:rPr>
          <w:i/>
          <w:iCs/>
          <w:lang w:val="en-NZ"/>
        </w:rPr>
        <w:t xml:space="preserve">Before </w:t>
      </w:r>
      <w:r w:rsidR="00F252C4">
        <w:rPr>
          <w:i/>
          <w:iCs/>
          <w:lang w:val="en-NZ"/>
        </w:rPr>
        <w:t>we</w:t>
      </w:r>
      <w:r w:rsidRPr="000315B4">
        <w:rPr>
          <w:i/>
          <w:iCs/>
          <w:lang w:val="en-NZ"/>
        </w:rPr>
        <w:t xml:space="preserve"> can get</w:t>
      </w:r>
      <w:r w:rsidR="00CC78EE" w:rsidRPr="000315B4">
        <w:rPr>
          <w:i/>
          <w:iCs/>
          <w:lang w:val="en-NZ"/>
        </w:rPr>
        <w:t xml:space="preserve"> a consent we need a farm plan.</w:t>
      </w:r>
      <w:r w:rsidR="00CC78EE" w:rsidRPr="000315B4">
        <w:rPr>
          <w:lang w:val="en-NZ"/>
        </w:rPr>
        <w:t xml:space="preserve"> </w:t>
      </w:r>
    </w:p>
    <w:p w14:paraId="423E9DED" w14:textId="250F7085" w:rsidR="004667E6" w:rsidRPr="008644CF" w:rsidRDefault="00CC78EE" w:rsidP="000315B4">
      <w:pPr>
        <w:pStyle w:val="ListParagraph"/>
        <w:numPr>
          <w:ilvl w:val="0"/>
          <w:numId w:val="6"/>
        </w:numPr>
        <w:rPr>
          <w:b/>
          <w:bCs/>
          <w:color w:val="1F3864" w:themeColor="accent1" w:themeShade="80"/>
          <w:lang w:val="en-NZ"/>
        </w:rPr>
      </w:pPr>
      <w:r w:rsidRPr="008644CF">
        <w:rPr>
          <w:b/>
          <w:bCs/>
          <w:color w:val="1F3864" w:themeColor="accent1" w:themeShade="80"/>
          <w:lang w:val="en-NZ"/>
        </w:rPr>
        <w:t xml:space="preserve">Correct. </w:t>
      </w:r>
      <w:bookmarkStart w:id="0" w:name="_Hlk44069974"/>
      <w:r w:rsidR="000315B4" w:rsidRPr="008644CF">
        <w:rPr>
          <w:b/>
          <w:bCs/>
          <w:color w:val="1F3864" w:themeColor="accent1" w:themeShade="80"/>
          <w:lang w:val="en-NZ"/>
        </w:rPr>
        <w:t>A</w:t>
      </w:r>
      <w:r w:rsidRPr="008644CF">
        <w:rPr>
          <w:b/>
          <w:bCs/>
          <w:color w:val="1F3864" w:themeColor="accent1" w:themeShade="80"/>
          <w:lang w:val="en-NZ"/>
        </w:rPr>
        <w:t xml:space="preserve"> farm plan will be required by most farmers under national legislation and is already required in many other plans.</w:t>
      </w:r>
      <w:bookmarkEnd w:id="0"/>
    </w:p>
    <w:p w14:paraId="5CF707B3" w14:textId="77777777" w:rsidR="000315B4" w:rsidRDefault="000315B4" w:rsidP="004667E6">
      <w:pPr>
        <w:rPr>
          <w:lang w:val="en-NZ"/>
        </w:rPr>
      </w:pPr>
    </w:p>
    <w:p w14:paraId="2CF41F61" w14:textId="09A87D97" w:rsidR="000315B4" w:rsidRPr="000315B4" w:rsidRDefault="004667E6" w:rsidP="000315B4">
      <w:pPr>
        <w:pStyle w:val="ListParagraph"/>
        <w:numPr>
          <w:ilvl w:val="0"/>
          <w:numId w:val="1"/>
        </w:numPr>
        <w:rPr>
          <w:i/>
          <w:iCs/>
          <w:lang w:val="en-NZ"/>
        </w:rPr>
      </w:pPr>
      <w:r w:rsidRPr="000315B4">
        <w:rPr>
          <w:i/>
          <w:iCs/>
          <w:lang w:val="en-NZ"/>
        </w:rPr>
        <w:t>How long does a consent last for</w:t>
      </w:r>
      <w:r w:rsidR="000315B4" w:rsidRPr="000315B4">
        <w:rPr>
          <w:i/>
          <w:iCs/>
          <w:lang w:val="en-NZ"/>
        </w:rPr>
        <w:t>?</w:t>
      </w:r>
      <w:r w:rsidR="00CC78EE" w:rsidRPr="000315B4">
        <w:rPr>
          <w:i/>
          <w:iCs/>
          <w:lang w:val="en-NZ"/>
        </w:rPr>
        <w:t xml:space="preserve"> </w:t>
      </w:r>
    </w:p>
    <w:p w14:paraId="694AC318" w14:textId="34696A9E" w:rsidR="000315B4" w:rsidRPr="008644CF" w:rsidRDefault="00CC78EE" w:rsidP="000315B4">
      <w:pPr>
        <w:pStyle w:val="ListParagraph"/>
        <w:numPr>
          <w:ilvl w:val="0"/>
          <w:numId w:val="6"/>
        </w:numPr>
        <w:rPr>
          <w:b/>
          <w:bCs/>
          <w:color w:val="1F3864" w:themeColor="accent1" w:themeShade="80"/>
          <w:lang w:val="en-NZ"/>
        </w:rPr>
      </w:pPr>
      <w:r w:rsidRPr="008644CF">
        <w:rPr>
          <w:b/>
          <w:bCs/>
          <w:color w:val="1F3864" w:themeColor="accent1" w:themeShade="80"/>
          <w:lang w:val="en-NZ"/>
        </w:rPr>
        <w:t xml:space="preserve">The </w:t>
      </w:r>
      <w:r w:rsidR="00DA776F" w:rsidRPr="008644CF">
        <w:rPr>
          <w:b/>
          <w:bCs/>
          <w:color w:val="1F3864" w:themeColor="accent1" w:themeShade="80"/>
          <w:lang w:val="en-NZ"/>
        </w:rPr>
        <w:t>term has not been determined. Co</w:t>
      </w:r>
      <w:r w:rsidRPr="008644CF">
        <w:rPr>
          <w:b/>
          <w:bCs/>
          <w:color w:val="1F3864" w:themeColor="accent1" w:themeShade="80"/>
          <w:lang w:val="en-NZ"/>
        </w:rPr>
        <w:t>n</w:t>
      </w:r>
      <w:r w:rsidR="00DA776F" w:rsidRPr="008644CF">
        <w:rPr>
          <w:b/>
          <w:bCs/>
          <w:color w:val="1F3864" w:themeColor="accent1" w:themeShade="80"/>
          <w:lang w:val="en-NZ"/>
        </w:rPr>
        <w:t>sents can go fro</w:t>
      </w:r>
      <w:r w:rsidRPr="008644CF">
        <w:rPr>
          <w:b/>
          <w:bCs/>
          <w:color w:val="1F3864" w:themeColor="accent1" w:themeShade="80"/>
          <w:lang w:val="en-NZ"/>
        </w:rPr>
        <w:t>m a year</w:t>
      </w:r>
      <w:r w:rsidR="000315B4" w:rsidRPr="008644CF">
        <w:rPr>
          <w:b/>
          <w:bCs/>
          <w:color w:val="1F3864" w:themeColor="accent1" w:themeShade="80"/>
          <w:lang w:val="en-NZ"/>
        </w:rPr>
        <w:t xml:space="preserve"> to 35 years</w:t>
      </w:r>
      <w:r w:rsidRPr="008644CF">
        <w:rPr>
          <w:b/>
          <w:bCs/>
          <w:color w:val="1F3864" w:themeColor="accent1" w:themeShade="80"/>
          <w:lang w:val="en-NZ"/>
        </w:rPr>
        <w:t>. Water consents tend to be granted for 10-15 y</w:t>
      </w:r>
      <w:r w:rsidR="001D59BE">
        <w:rPr>
          <w:b/>
          <w:bCs/>
          <w:color w:val="1F3864" w:themeColor="accent1" w:themeShade="80"/>
          <w:lang w:val="en-NZ"/>
        </w:rPr>
        <w:t>ea</w:t>
      </w:r>
      <w:r w:rsidRPr="008644CF">
        <w:rPr>
          <w:b/>
          <w:bCs/>
          <w:color w:val="1F3864" w:themeColor="accent1" w:themeShade="80"/>
          <w:lang w:val="en-NZ"/>
        </w:rPr>
        <w:t>rs in Waikato.</w:t>
      </w:r>
      <w:r w:rsidR="0088363C" w:rsidRPr="008644CF">
        <w:rPr>
          <w:b/>
          <w:bCs/>
          <w:color w:val="1F3864" w:themeColor="accent1" w:themeShade="80"/>
          <w:lang w:val="en-NZ"/>
        </w:rPr>
        <w:t xml:space="preserve"> We are yet to see what term will be applied to the</w:t>
      </w:r>
      <w:r w:rsidR="001D59BE">
        <w:rPr>
          <w:b/>
          <w:bCs/>
          <w:color w:val="1F3864" w:themeColor="accent1" w:themeShade="80"/>
          <w:lang w:val="en-NZ"/>
        </w:rPr>
        <w:t xml:space="preserve"> </w:t>
      </w:r>
      <w:r w:rsidR="001D59BE" w:rsidRPr="00D76B27">
        <w:rPr>
          <w:b/>
          <w:bCs/>
          <w:color w:val="1F3864" w:themeColor="accent1" w:themeShade="80"/>
          <w:lang w:val="en-NZ"/>
        </w:rPr>
        <w:t>CVP consents</w:t>
      </w:r>
      <w:r w:rsidR="000315B4" w:rsidRPr="008644CF">
        <w:rPr>
          <w:b/>
          <w:bCs/>
          <w:color w:val="1F3864" w:themeColor="accent1" w:themeShade="80"/>
          <w:lang w:val="en-NZ"/>
        </w:rPr>
        <w:t>.</w:t>
      </w:r>
    </w:p>
    <w:p w14:paraId="05F48B98" w14:textId="77777777" w:rsidR="000315B4" w:rsidRDefault="000315B4" w:rsidP="000315B4">
      <w:pPr>
        <w:pStyle w:val="ListParagraph"/>
        <w:rPr>
          <w:lang w:val="en-NZ"/>
        </w:rPr>
      </w:pPr>
    </w:p>
    <w:p w14:paraId="69EE548C" w14:textId="77777777" w:rsidR="000315B4" w:rsidRPr="000315B4" w:rsidRDefault="004667E6" w:rsidP="000315B4">
      <w:pPr>
        <w:pStyle w:val="ListParagraph"/>
        <w:numPr>
          <w:ilvl w:val="0"/>
          <w:numId w:val="1"/>
        </w:numPr>
        <w:rPr>
          <w:lang w:val="en-NZ"/>
        </w:rPr>
      </w:pPr>
      <w:r w:rsidRPr="000315B4">
        <w:rPr>
          <w:i/>
          <w:iCs/>
          <w:lang w:val="en-NZ"/>
        </w:rPr>
        <w:t>Who owns the consent</w:t>
      </w:r>
      <w:r w:rsidR="00CC78EE" w:rsidRPr="000315B4">
        <w:rPr>
          <w:i/>
          <w:iCs/>
          <w:lang w:val="en-NZ"/>
        </w:rPr>
        <w:t>, the land owner or the grower</w:t>
      </w:r>
      <w:r w:rsidR="000315B4" w:rsidRPr="000315B4">
        <w:rPr>
          <w:i/>
          <w:iCs/>
          <w:lang w:val="en-NZ"/>
        </w:rPr>
        <w:t>?</w:t>
      </w:r>
      <w:r w:rsidR="00CC78EE" w:rsidRPr="000315B4">
        <w:rPr>
          <w:i/>
          <w:iCs/>
          <w:color w:val="70AD47" w:themeColor="accent6"/>
          <w:lang w:val="en-NZ"/>
        </w:rPr>
        <w:t xml:space="preserve"> </w:t>
      </w:r>
    </w:p>
    <w:p w14:paraId="26A03D2F" w14:textId="77777777" w:rsidR="00F252C4" w:rsidRDefault="00CC78EE" w:rsidP="00F252C4">
      <w:pPr>
        <w:pStyle w:val="ListParagraph"/>
        <w:numPr>
          <w:ilvl w:val="0"/>
          <w:numId w:val="6"/>
        </w:numPr>
        <w:rPr>
          <w:b/>
          <w:bCs/>
          <w:color w:val="1F3864" w:themeColor="accent1" w:themeShade="80"/>
          <w:lang w:val="en-NZ"/>
        </w:rPr>
      </w:pPr>
      <w:r w:rsidRPr="008644CF">
        <w:rPr>
          <w:b/>
          <w:bCs/>
          <w:color w:val="1F3864" w:themeColor="accent1" w:themeShade="80"/>
          <w:lang w:val="en-NZ"/>
        </w:rPr>
        <w:t xml:space="preserve">This is still an active question. </w:t>
      </w:r>
      <w:r w:rsidR="00DA776F" w:rsidRPr="008644CF">
        <w:rPr>
          <w:b/>
          <w:bCs/>
          <w:color w:val="1F3864" w:themeColor="accent1" w:themeShade="80"/>
          <w:lang w:val="en-NZ"/>
        </w:rPr>
        <w:t xml:space="preserve">The rules are </w:t>
      </w:r>
      <w:r w:rsidR="00F252C4">
        <w:rPr>
          <w:b/>
          <w:bCs/>
          <w:color w:val="1F3864" w:themeColor="accent1" w:themeShade="80"/>
          <w:lang w:val="en-NZ"/>
        </w:rPr>
        <w:t xml:space="preserve">for </w:t>
      </w:r>
      <w:r w:rsidR="00DA776F" w:rsidRPr="008644CF">
        <w:rPr>
          <w:b/>
          <w:bCs/>
          <w:color w:val="1F3864" w:themeColor="accent1" w:themeShade="80"/>
          <w:lang w:val="en-NZ"/>
        </w:rPr>
        <w:t xml:space="preserve">hybrid land use and discharge. </w:t>
      </w:r>
      <w:r w:rsidRPr="008644CF">
        <w:rPr>
          <w:b/>
          <w:bCs/>
          <w:color w:val="1F3864" w:themeColor="accent1" w:themeShade="80"/>
          <w:lang w:val="en-NZ"/>
        </w:rPr>
        <w:t>A land</w:t>
      </w:r>
      <w:r w:rsidR="000315B4" w:rsidRPr="008644CF">
        <w:rPr>
          <w:b/>
          <w:bCs/>
          <w:color w:val="1F3864" w:themeColor="accent1" w:themeShade="80"/>
          <w:lang w:val="en-NZ"/>
        </w:rPr>
        <w:t>-</w:t>
      </w:r>
      <w:r w:rsidRPr="008644CF">
        <w:rPr>
          <w:b/>
          <w:bCs/>
          <w:color w:val="1F3864" w:themeColor="accent1" w:themeShade="80"/>
          <w:lang w:val="en-NZ"/>
        </w:rPr>
        <w:t>use consent runs with the land.</w:t>
      </w:r>
      <w:r w:rsidR="00DA776F" w:rsidRPr="008644CF">
        <w:rPr>
          <w:b/>
          <w:bCs/>
          <w:color w:val="1F3864" w:themeColor="accent1" w:themeShade="80"/>
          <w:lang w:val="en-NZ"/>
        </w:rPr>
        <w:t xml:space="preserve"> Discharge</w:t>
      </w:r>
      <w:r w:rsidR="00F252C4">
        <w:rPr>
          <w:b/>
          <w:bCs/>
          <w:color w:val="1F3864" w:themeColor="accent1" w:themeShade="80"/>
          <w:lang w:val="en-NZ"/>
        </w:rPr>
        <w:t xml:space="preserve"> rules</w:t>
      </w:r>
      <w:r w:rsidR="00DA776F" w:rsidRPr="008644CF">
        <w:rPr>
          <w:b/>
          <w:bCs/>
          <w:color w:val="1F3864" w:themeColor="accent1" w:themeShade="80"/>
          <w:lang w:val="en-NZ"/>
        </w:rPr>
        <w:t xml:space="preserve"> run with the consent holder</w:t>
      </w:r>
      <w:r w:rsidR="00CF420E" w:rsidRPr="008644CF">
        <w:rPr>
          <w:b/>
          <w:bCs/>
          <w:color w:val="1F3864" w:themeColor="accent1" w:themeShade="80"/>
          <w:lang w:val="en-NZ"/>
        </w:rPr>
        <w:t>, s</w:t>
      </w:r>
      <w:r w:rsidR="00DA776F" w:rsidRPr="008644CF">
        <w:rPr>
          <w:b/>
          <w:bCs/>
          <w:color w:val="1F3864" w:themeColor="accent1" w:themeShade="80"/>
          <w:lang w:val="en-NZ"/>
        </w:rPr>
        <w:t>o potentially the right to discharge could be the grower right, with the land retaining the right to be utilised for CVP by any other party with appropriate discharge consent.</w:t>
      </w:r>
    </w:p>
    <w:p w14:paraId="76D40197" w14:textId="77777777" w:rsidR="00F252C4" w:rsidRDefault="00DA776F" w:rsidP="00F252C4">
      <w:pPr>
        <w:pStyle w:val="ListParagraph"/>
        <w:numPr>
          <w:ilvl w:val="0"/>
          <w:numId w:val="6"/>
        </w:numPr>
        <w:rPr>
          <w:b/>
          <w:bCs/>
          <w:color w:val="1F3864" w:themeColor="accent1" w:themeShade="80"/>
          <w:lang w:val="en-NZ"/>
        </w:rPr>
      </w:pPr>
      <w:r w:rsidRPr="00F252C4">
        <w:rPr>
          <w:b/>
          <w:bCs/>
          <w:color w:val="1F3864" w:themeColor="accent1" w:themeShade="80"/>
          <w:lang w:val="en-NZ"/>
        </w:rPr>
        <w:t>T</w:t>
      </w:r>
      <w:r w:rsidR="00CC78EE" w:rsidRPr="00F252C4">
        <w:rPr>
          <w:b/>
          <w:bCs/>
          <w:color w:val="1F3864" w:themeColor="accent1" w:themeShade="80"/>
          <w:lang w:val="en-NZ"/>
        </w:rPr>
        <w:t xml:space="preserve">he consent application could be for all land within a larger prescribed area. For the existing farm; this would be at the scale in area conducted prior to the plan being notified. </w:t>
      </w:r>
    </w:p>
    <w:p w14:paraId="041F8E9E" w14:textId="77777777" w:rsidR="00D76B27" w:rsidRPr="00D76B27" w:rsidRDefault="00DA776F" w:rsidP="00D76B27">
      <w:pPr>
        <w:pStyle w:val="CommentText"/>
        <w:numPr>
          <w:ilvl w:val="0"/>
          <w:numId w:val="6"/>
        </w:numPr>
        <w:rPr>
          <w:b/>
          <w:bCs/>
          <w:color w:val="1F3864" w:themeColor="accent1" w:themeShade="80"/>
          <w:sz w:val="22"/>
          <w:szCs w:val="22"/>
        </w:rPr>
      </w:pPr>
      <w:r w:rsidRPr="00D76B27">
        <w:rPr>
          <w:b/>
          <w:bCs/>
          <w:color w:val="1F3864" w:themeColor="accent1" w:themeShade="80"/>
          <w:sz w:val="22"/>
          <w:szCs w:val="22"/>
          <w:lang w:val="en-NZ"/>
        </w:rPr>
        <w:t>For an increase in activity</w:t>
      </w:r>
      <w:r w:rsidR="0088363C" w:rsidRPr="00D76B27">
        <w:rPr>
          <w:b/>
          <w:bCs/>
          <w:color w:val="1F3864" w:themeColor="accent1" w:themeShade="80"/>
          <w:sz w:val="22"/>
          <w:szCs w:val="22"/>
          <w:lang w:val="en-NZ"/>
        </w:rPr>
        <w:t>;</w:t>
      </w:r>
      <w:r w:rsidRPr="00D76B27">
        <w:rPr>
          <w:b/>
          <w:bCs/>
          <w:color w:val="1F3864" w:themeColor="accent1" w:themeShade="80"/>
          <w:sz w:val="22"/>
          <w:szCs w:val="22"/>
          <w:lang w:val="en-NZ"/>
        </w:rPr>
        <w:t xml:space="preserve"> consent is required</w:t>
      </w:r>
    </w:p>
    <w:p w14:paraId="06C6ECB6" w14:textId="4A7A0A07" w:rsidR="00F252C4" w:rsidRPr="00D76B27" w:rsidRDefault="00D76B27" w:rsidP="00D76B27">
      <w:pPr>
        <w:pStyle w:val="CommentText"/>
        <w:numPr>
          <w:ilvl w:val="0"/>
          <w:numId w:val="6"/>
        </w:numPr>
        <w:rPr>
          <w:b/>
          <w:bCs/>
          <w:color w:val="1F3864" w:themeColor="accent1" w:themeShade="80"/>
          <w:sz w:val="22"/>
          <w:szCs w:val="22"/>
        </w:rPr>
      </w:pPr>
      <w:r w:rsidRPr="00D76B27">
        <w:rPr>
          <w:b/>
          <w:bCs/>
          <w:color w:val="1F3864" w:themeColor="accent1" w:themeShade="80"/>
          <w:sz w:val="22"/>
          <w:szCs w:val="22"/>
        </w:rPr>
        <w:t>A new consent would cover all CVP existing and proposed.</w:t>
      </w:r>
    </w:p>
    <w:p w14:paraId="6E67743E" w14:textId="77777777" w:rsidR="00F252C4" w:rsidRDefault="00DA776F" w:rsidP="00F252C4">
      <w:pPr>
        <w:pStyle w:val="ListParagraph"/>
        <w:numPr>
          <w:ilvl w:val="0"/>
          <w:numId w:val="6"/>
        </w:numPr>
        <w:rPr>
          <w:b/>
          <w:bCs/>
          <w:color w:val="1F3864" w:themeColor="accent1" w:themeShade="80"/>
          <w:lang w:val="en-NZ"/>
        </w:rPr>
      </w:pPr>
      <w:r w:rsidRPr="00F252C4">
        <w:rPr>
          <w:b/>
          <w:bCs/>
          <w:color w:val="1F3864" w:themeColor="accent1" w:themeShade="80"/>
          <w:lang w:val="en-NZ"/>
        </w:rPr>
        <w:t xml:space="preserve">Allocation for growth is limited </w:t>
      </w:r>
      <w:r w:rsidR="0088363C" w:rsidRPr="00F252C4">
        <w:rPr>
          <w:b/>
          <w:bCs/>
          <w:color w:val="1F3864" w:themeColor="accent1" w:themeShade="80"/>
          <w:lang w:val="en-NZ"/>
        </w:rPr>
        <w:t xml:space="preserve">within </w:t>
      </w:r>
      <w:r w:rsidRPr="00F252C4">
        <w:rPr>
          <w:b/>
          <w:bCs/>
          <w:color w:val="1F3864" w:themeColor="accent1" w:themeShade="80"/>
          <w:lang w:val="en-NZ"/>
        </w:rPr>
        <w:t>sub</w:t>
      </w:r>
      <w:r w:rsidR="00CF420E" w:rsidRPr="00F252C4">
        <w:rPr>
          <w:b/>
          <w:bCs/>
          <w:color w:val="1F3864" w:themeColor="accent1" w:themeShade="80"/>
          <w:lang w:val="en-NZ"/>
        </w:rPr>
        <w:t>-</w:t>
      </w:r>
      <w:r w:rsidRPr="00F252C4">
        <w:rPr>
          <w:b/>
          <w:bCs/>
          <w:color w:val="1F3864" w:themeColor="accent1" w:themeShade="80"/>
          <w:lang w:val="en-NZ"/>
        </w:rPr>
        <w:t>catchment</w:t>
      </w:r>
      <w:r w:rsidR="0088363C" w:rsidRPr="00F252C4">
        <w:rPr>
          <w:b/>
          <w:bCs/>
          <w:color w:val="1F3864" w:themeColor="accent1" w:themeShade="80"/>
          <w:lang w:val="en-NZ"/>
        </w:rPr>
        <w:t>s</w:t>
      </w:r>
      <w:r w:rsidRPr="00F252C4">
        <w:rPr>
          <w:b/>
          <w:bCs/>
          <w:color w:val="1F3864" w:themeColor="accent1" w:themeShade="80"/>
          <w:lang w:val="en-NZ"/>
        </w:rPr>
        <w:t xml:space="preserve"> and this is a key problem to resolve.</w:t>
      </w:r>
    </w:p>
    <w:p w14:paraId="795AC950" w14:textId="71769CBA" w:rsidR="00DA776F" w:rsidRPr="00F252C4" w:rsidRDefault="00DA776F" w:rsidP="00F252C4">
      <w:pPr>
        <w:pStyle w:val="ListParagraph"/>
        <w:numPr>
          <w:ilvl w:val="0"/>
          <w:numId w:val="6"/>
        </w:numPr>
        <w:rPr>
          <w:b/>
          <w:bCs/>
          <w:color w:val="1F3864" w:themeColor="accent1" w:themeShade="80"/>
          <w:lang w:val="en-NZ"/>
        </w:rPr>
      </w:pPr>
      <w:r w:rsidRPr="00F252C4">
        <w:rPr>
          <w:b/>
          <w:bCs/>
          <w:color w:val="1F3864" w:themeColor="accent1" w:themeShade="80"/>
          <w:lang w:val="en-NZ"/>
        </w:rPr>
        <w:t>The discharge component will relate to t</w:t>
      </w:r>
      <w:r w:rsidR="0088363C" w:rsidRPr="00F252C4">
        <w:rPr>
          <w:b/>
          <w:bCs/>
          <w:color w:val="1F3864" w:themeColor="accent1" w:themeShade="80"/>
          <w:lang w:val="en-NZ"/>
        </w:rPr>
        <w:t>he scale of CVP being conducted; existing or new.</w:t>
      </w:r>
    </w:p>
    <w:p w14:paraId="23D53B44" w14:textId="77777777" w:rsidR="00CF420E" w:rsidRDefault="00CF420E" w:rsidP="004667E6">
      <w:pPr>
        <w:rPr>
          <w:lang w:val="en-NZ"/>
        </w:rPr>
      </w:pPr>
    </w:p>
    <w:p w14:paraId="2AEA0736" w14:textId="1BB0D022" w:rsidR="004667E6" w:rsidRPr="00CF420E" w:rsidRDefault="00CF420E" w:rsidP="00CF420E">
      <w:pPr>
        <w:pStyle w:val="ListParagraph"/>
        <w:numPr>
          <w:ilvl w:val="0"/>
          <w:numId w:val="1"/>
        </w:numPr>
        <w:rPr>
          <w:i/>
          <w:iCs/>
          <w:lang w:val="en-NZ"/>
        </w:rPr>
      </w:pPr>
      <w:r w:rsidRPr="00CF420E">
        <w:rPr>
          <w:i/>
          <w:iCs/>
          <w:lang w:val="en-NZ"/>
        </w:rPr>
        <w:t>We are worried about the c</w:t>
      </w:r>
      <w:r w:rsidR="004667E6" w:rsidRPr="00CF420E">
        <w:rPr>
          <w:i/>
          <w:iCs/>
          <w:lang w:val="en-NZ"/>
        </w:rPr>
        <w:t xml:space="preserve">ost of consent. </w:t>
      </w:r>
    </w:p>
    <w:p w14:paraId="3365ECA6" w14:textId="77777777" w:rsidR="00F252C4" w:rsidRDefault="0088363C" w:rsidP="00F252C4">
      <w:pPr>
        <w:pStyle w:val="ListParagraph"/>
        <w:numPr>
          <w:ilvl w:val="0"/>
          <w:numId w:val="12"/>
        </w:numPr>
        <w:rPr>
          <w:b/>
          <w:bCs/>
          <w:color w:val="1F3864" w:themeColor="accent1" w:themeShade="80"/>
          <w:lang w:val="en-NZ"/>
        </w:rPr>
      </w:pPr>
      <w:r w:rsidRPr="00F252C4">
        <w:rPr>
          <w:b/>
          <w:bCs/>
          <w:color w:val="1F3864" w:themeColor="accent1" w:themeShade="80"/>
          <w:lang w:val="en-NZ"/>
        </w:rPr>
        <w:t>Costs will relate to</w:t>
      </w:r>
      <w:r w:rsidR="00F252C4">
        <w:rPr>
          <w:b/>
          <w:bCs/>
          <w:color w:val="1F3864" w:themeColor="accent1" w:themeShade="80"/>
          <w:lang w:val="en-NZ"/>
        </w:rPr>
        <w:t xml:space="preserve"> the </w:t>
      </w:r>
      <w:r w:rsidRPr="00F252C4">
        <w:rPr>
          <w:b/>
          <w:bCs/>
          <w:color w:val="1F3864" w:themeColor="accent1" w:themeShade="80"/>
          <w:lang w:val="en-NZ"/>
        </w:rPr>
        <w:t>Farm Plan</w:t>
      </w:r>
      <w:r w:rsidR="00CF420E" w:rsidRPr="00F252C4">
        <w:rPr>
          <w:b/>
          <w:bCs/>
          <w:color w:val="1F3864" w:themeColor="accent1" w:themeShade="80"/>
          <w:lang w:val="en-NZ"/>
        </w:rPr>
        <w:t xml:space="preserve"> (FEP)</w:t>
      </w:r>
      <w:r w:rsidRPr="00F252C4">
        <w:rPr>
          <w:b/>
          <w:bCs/>
          <w:color w:val="1F3864" w:themeColor="accent1" w:themeShade="80"/>
          <w:lang w:val="en-NZ"/>
        </w:rPr>
        <w:t xml:space="preserve">; </w:t>
      </w:r>
      <w:r w:rsidR="00F252C4">
        <w:rPr>
          <w:b/>
          <w:bCs/>
          <w:color w:val="1F3864" w:themeColor="accent1" w:themeShade="80"/>
          <w:lang w:val="en-NZ"/>
        </w:rPr>
        <w:t>c</w:t>
      </w:r>
      <w:r w:rsidRPr="00F252C4">
        <w:rPr>
          <w:b/>
          <w:bCs/>
          <w:color w:val="1F3864" w:themeColor="accent1" w:themeShade="80"/>
          <w:lang w:val="en-NZ"/>
        </w:rPr>
        <w:t xml:space="preserve">onsent processing fees (like a water consent) and Council time in reviewing the application. </w:t>
      </w:r>
    </w:p>
    <w:p w14:paraId="6F2373E9" w14:textId="353AEAD2" w:rsidR="0088363C" w:rsidRPr="00F252C4" w:rsidRDefault="0088363C" w:rsidP="00F252C4">
      <w:pPr>
        <w:pStyle w:val="ListParagraph"/>
        <w:numPr>
          <w:ilvl w:val="0"/>
          <w:numId w:val="12"/>
        </w:numPr>
        <w:rPr>
          <w:b/>
          <w:bCs/>
          <w:color w:val="1F3864" w:themeColor="accent1" w:themeShade="80"/>
          <w:lang w:val="en-NZ"/>
        </w:rPr>
      </w:pPr>
      <w:r w:rsidRPr="00F252C4">
        <w:rPr>
          <w:b/>
          <w:bCs/>
          <w:color w:val="1F3864" w:themeColor="accent1" w:themeShade="80"/>
          <w:lang w:val="en-NZ"/>
        </w:rPr>
        <w:t>The cost of consent w</w:t>
      </w:r>
      <w:r w:rsidR="00F252C4">
        <w:rPr>
          <w:b/>
          <w:bCs/>
          <w:color w:val="1F3864" w:themeColor="accent1" w:themeShade="80"/>
          <w:lang w:val="en-NZ"/>
        </w:rPr>
        <w:t>ill</w:t>
      </w:r>
      <w:r w:rsidRPr="00F252C4">
        <w:rPr>
          <w:b/>
          <w:bCs/>
          <w:color w:val="1F3864" w:themeColor="accent1" w:themeShade="80"/>
          <w:lang w:val="en-NZ"/>
        </w:rPr>
        <w:t xml:space="preserve"> vary from grower to grower, and a collective </w:t>
      </w:r>
      <w:r w:rsidRPr="00D76B27">
        <w:rPr>
          <w:b/>
          <w:bCs/>
          <w:color w:val="1F3864" w:themeColor="accent1" w:themeShade="80"/>
          <w:lang w:val="en-NZ"/>
        </w:rPr>
        <w:t xml:space="preserve">application </w:t>
      </w:r>
      <w:r w:rsidR="00521E66" w:rsidRPr="00D76B27">
        <w:rPr>
          <w:b/>
          <w:bCs/>
          <w:color w:val="1F3864" w:themeColor="accent1" w:themeShade="80"/>
          <w:lang w:val="en-NZ"/>
        </w:rPr>
        <w:t>will</w:t>
      </w:r>
      <w:r w:rsidRPr="00F252C4">
        <w:rPr>
          <w:b/>
          <w:bCs/>
          <w:color w:val="1F3864" w:themeColor="accent1" w:themeShade="80"/>
          <w:lang w:val="en-NZ"/>
        </w:rPr>
        <w:t xml:space="preserve"> significantly reduce costs and bureaucracy.</w:t>
      </w:r>
    </w:p>
    <w:p w14:paraId="0F0B6474" w14:textId="77777777" w:rsidR="00CF420E" w:rsidRDefault="00CF420E" w:rsidP="004667E6">
      <w:pPr>
        <w:rPr>
          <w:lang w:val="en-NZ"/>
        </w:rPr>
      </w:pPr>
    </w:p>
    <w:p w14:paraId="3E22B4EB" w14:textId="549AF4A5" w:rsidR="004667E6" w:rsidRPr="00CF420E" w:rsidRDefault="004667E6" w:rsidP="00CF420E">
      <w:pPr>
        <w:pStyle w:val="ListParagraph"/>
        <w:numPr>
          <w:ilvl w:val="0"/>
          <w:numId w:val="1"/>
        </w:numPr>
        <w:rPr>
          <w:lang w:val="en-NZ"/>
        </w:rPr>
      </w:pPr>
      <w:r w:rsidRPr="00CF420E">
        <w:rPr>
          <w:lang w:val="en-NZ"/>
        </w:rPr>
        <w:t>Who audit</w:t>
      </w:r>
      <w:r w:rsidR="00CF420E">
        <w:rPr>
          <w:lang w:val="en-NZ"/>
        </w:rPr>
        <w:t>s</w:t>
      </w:r>
      <w:r w:rsidRPr="00CF420E">
        <w:rPr>
          <w:lang w:val="en-NZ"/>
        </w:rPr>
        <w:t xml:space="preserve"> the consent and at what timeframe can a grower have an answer back</w:t>
      </w:r>
      <w:r w:rsidR="00CF420E">
        <w:rPr>
          <w:lang w:val="en-NZ"/>
        </w:rPr>
        <w:t>?</w:t>
      </w:r>
    </w:p>
    <w:p w14:paraId="54837E33" w14:textId="6C615E6B" w:rsidR="0088363C" w:rsidRPr="008644CF" w:rsidRDefault="0088363C" w:rsidP="0088363C">
      <w:pPr>
        <w:pStyle w:val="ListParagraph"/>
        <w:numPr>
          <w:ilvl w:val="0"/>
          <w:numId w:val="4"/>
        </w:numPr>
        <w:rPr>
          <w:b/>
          <w:bCs/>
          <w:color w:val="1F3864" w:themeColor="accent1" w:themeShade="80"/>
          <w:lang w:val="en-NZ"/>
        </w:rPr>
      </w:pPr>
      <w:r w:rsidRPr="008644CF">
        <w:rPr>
          <w:b/>
          <w:bCs/>
          <w:color w:val="1F3864" w:themeColor="accent1" w:themeShade="80"/>
          <w:lang w:val="en-NZ"/>
        </w:rPr>
        <w:t xml:space="preserve">NZ GAP audits the </w:t>
      </w:r>
      <w:r w:rsidR="00521E66">
        <w:rPr>
          <w:b/>
          <w:bCs/>
          <w:color w:val="1F3864" w:themeColor="accent1" w:themeShade="80"/>
          <w:lang w:val="en-NZ"/>
        </w:rPr>
        <w:t>FEP</w:t>
      </w:r>
    </w:p>
    <w:p w14:paraId="538D5AC5" w14:textId="77777777" w:rsidR="0088363C" w:rsidRPr="008644CF" w:rsidRDefault="0088363C" w:rsidP="0088363C">
      <w:pPr>
        <w:pStyle w:val="ListParagraph"/>
        <w:numPr>
          <w:ilvl w:val="0"/>
          <w:numId w:val="4"/>
        </w:numPr>
        <w:rPr>
          <w:b/>
          <w:bCs/>
          <w:color w:val="1F3864" w:themeColor="accent1" w:themeShade="80"/>
          <w:lang w:val="en-NZ"/>
        </w:rPr>
      </w:pPr>
      <w:r w:rsidRPr="008644CF">
        <w:rPr>
          <w:b/>
          <w:bCs/>
          <w:color w:val="1F3864" w:themeColor="accent1" w:themeShade="80"/>
          <w:lang w:val="en-NZ"/>
        </w:rPr>
        <w:t>Council audits the consent.</w:t>
      </w:r>
    </w:p>
    <w:p w14:paraId="70E01526" w14:textId="602F84A2" w:rsidR="0088363C" w:rsidRPr="008644CF" w:rsidRDefault="0088363C" w:rsidP="0088363C">
      <w:pPr>
        <w:pStyle w:val="ListParagraph"/>
        <w:numPr>
          <w:ilvl w:val="0"/>
          <w:numId w:val="4"/>
        </w:numPr>
        <w:rPr>
          <w:b/>
          <w:bCs/>
          <w:color w:val="1F3864" w:themeColor="accent1" w:themeShade="80"/>
          <w:lang w:val="en-NZ"/>
        </w:rPr>
      </w:pPr>
      <w:r w:rsidRPr="008644CF">
        <w:rPr>
          <w:b/>
          <w:bCs/>
          <w:color w:val="1F3864" w:themeColor="accent1" w:themeShade="80"/>
          <w:lang w:val="en-NZ"/>
        </w:rPr>
        <w:t xml:space="preserve">The consent relates to the actions agreed in the </w:t>
      </w:r>
      <w:r w:rsidR="00521E66">
        <w:rPr>
          <w:b/>
          <w:bCs/>
          <w:color w:val="1F3864" w:themeColor="accent1" w:themeShade="80"/>
          <w:lang w:val="en-NZ"/>
        </w:rPr>
        <w:t>FEP</w:t>
      </w:r>
      <w:r w:rsidRPr="008644CF">
        <w:rPr>
          <w:b/>
          <w:bCs/>
          <w:color w:val="1F3864" w:themeColor="accent1" w:themeShade="80"/>
          <w:lang w:val="en-NZ"/>
        </w:rPr>
        <w:t>.</w:t>
      </w:r>
    </w:p>
    <w:p w14:paraId="0C0F4ADE" w14:textId="77777777" w:rsidR="00CF420E" w:rsidRPr="00CF420E" w:rsidRDefault="00CF420E" w:rsidP="00CF420E">
      <w:pPr>
        <w:pStyle w:val="ListParagraph"/>
        <w:rPr>
          <w:lang w:val="en-NZ"/>
        </w:rPr>
      </w:pPr>
    </w:p>
    <w:p w14:paraId="13A082F0" w14:textId="7E4C16D9" w:rsidR="00CF420E" w:rsidRPr="002D3205" w:rsidRDefault="004667E6" w:rsidP="002D3205">
      <w:pPr>
        <w:pStyle w:val="ListParagraph"/>
        <w:numPr>
          <w:ilvl w:val="0"/>
          <w:numId w:val="1"/>
        </w:numPr>
        <w:rPr>
          <w:i/>
          <w:iCs/>
          <w:lang w:val="en-NZ"/>
        </w:rPr>
      </w:pPr>
      <w:r w:rsidRPr="00CF420E">
        <w:rPr>
          <w:i/>
          <w:iCs/>
          <w:lang w:val="en-NZ"/>
        </w:rPr>
        <w:t>Less than 4 hectares does not need a farm plan or consent</w:t>
      </w:r>
      <w:r w:rsidR="002D3205">
        <w:rPr>
          <w:i/>
          <w:iCs/>
          <w:lang w:val="en-NZ"/>
        </w:rPr>
        <w:t>. I</w:t>
      </w:r>
      <w:r w:rsidRPr="00CF420E">
        <w:rPr>
          <w:i/>
          <w:iCs/>
          <w:lang w:val="en-NZ"/>
        </w:rPr>
        <w:t>f there are 10 life style blocks in a sub</w:t>
      </w:r>
      <w:r w:rsidR="002D3205">
        <w:rPr>
          <w:i/>
          <w:iCs/>
          <w:lang w:val="en-NZ"/>
        </w:rPr>
        <w:t>-</w:t>
      </w:r>
      <w:r w:rsidRPr="00CF420E">
        <w:rPr>
          <w:i/>
          <w:iCs/>
          <w:lang w:val="en-NZ"/>
        </w:rPr>
        <w:t>catchment  that is already over allocated for N leaching</w:t>
      </w:r>
      <w:r w:rsidR="002D3205">
        <w:rPr>
          <w:i/>
          <w:iCs/>
          <w:lang w:val="en-NZ"/>
        </w:rPr>
        <w:t>,</w:t>
      </w:r>
      <w:r w:rsidRPr="00CF420E">
        <w:rPr>
          <w:i/>
          <w:iCs/>
          <w:lang w:val="en-NZ"/>
        </w:rPr>
        <w:t xml:space="preserve"> why should other growers </w:t>
      </w:r>
      <w:r w:rsidR="002D3205">
        <w:rPr>
          <w:i/>
          <w:iCs/>
          <w:lang w:val="en-NZ"/>
        </w:rPr>
        <w:t>h</w:t>
      </w:r>
      <w:r w:rsidRPr="002D3205">
        <w:rPr>
          <w:i/>
          <w:iCs/>
          <w:lang w:val="en-NZ"/>
        </w:rPr>
        <w:t>ave to cut back when these are not accounted for</w:t>
      </w:r>
      <w:r w:rsidR="002D3205">
        <w:rPr>
          <w:i/>
          <w:iCs/>
          <w:lang w:val="en-NZ"/>
        </w:rPr>
        <w:t>?</w:t>
      </w:r>
      <w:r w:rsidR="0088363C" w:rsidRPr="002D3205">
        <w:rPr>
          <w:i/>
          <w:iCs/>
          <w:lang w:val="en-NZ"/>
        </w:rPr>
        <w:t xml:space="preserve"> </w:t>
      </w:r>
    </w:p>
    <w:p w14:paraId="61667703" w14:textId="19AE2D15" w:rsidR="002D3205" w:rsidRPr="008644CF" w:rsidRDefault="002D3205" w:rsidP="002D3205">
      <w:pPr>
        <w:pStyle w:val="ListParagraph"/>
        <w:numPr>
          <w:ilvl w:val="0"/>
          <w:numId w:val="6"/>
        </w:numPr>
        <w:rPr>
          <w:b/>
          <w:bCs/>
          <w:color w:val="1F3864" w:themeColor="accent1" w:themeShade="80"/>
          <w:lang w:val="en-NZ"/>
        </w:rPr>
      </w:pPr>
      <w:r w:rsidRPr="008644CF">
        <w:rPr>
          <w:b/>
          <w:bCs/>
          <w:color w:val="1F3864" w:themeColor="accent1" w:themeShade="80"/>
          <w:lang w:val="en-NZ"/>
        </w:rPr>
        <w:t>P</w:t>
      </w:r>
      <w:r w:rsidR="00CD66D5" w:rsidRPr="008644CF">
        <w:rPr>
          <w:b/>
          <w:bCs/>
          <w:color w:val="1F3864" w:themeColor="accent1" w:themeShade="80"/>
          <w:lang w:val="en-NZ"/>
        </w:rPr>
        <w:t>rotecting the existing footprint ensure</w:t>
      </w:r>
      <w:r w:rsidRPr="008644CF">
        <w:rPr>
          <w:b/>
          <w:bCs/>
          <w:color w:val="1F3864" w:themeColor="accent1" w:themeShade="80"/>
          <w:lang w:val="en-NZ"/>
        </w:rPr>
        <w:t>s</w:t>
      </w:r>
      <w:r w:rsidR="00CD66D5" w:rsidRPr="008644CF">
        <w:rPr>
          <w:b/>
          <w:bCs/>
          <w:color w:val="1F3864" w:themeColor="accent1" w:themeShade="80"/>
          <w:lang w:val="en-NZ"/>
        </w:rPr>
        <w:t xml:space="preserve"> growers </w:t>
      </w:r>
      <w:r w:rsidRPr="008644CF">
        <w:rPr>
          <w:b/>
          <w:bCs/>
          <w:color w:val="1F3864" w:themeColor="accent1" w:themeShade="80"/>
          <w:lang w:val="en-NZ"/>
        </w:rPr>
        <w:t>do</w:t>
      </w:r>
      <w:r w:rsidR="00CD66D5" w:rsidRPr="008644CF">
        <w:rPr>
          <w:b/>
          <w:bCs/>
          <w:color w:val="1F3864" w:themeColor="accent1" w:themeShade="80"/>
          <w:lang w:val="en-NZ"/>
        </w:rPr>
        <w:t xml:space="preserve"> not have to “cut back”. </w:t>
      </w:r>
      <w:r w:rsidR="0088363C" w:rsidRPr="008644CF">
        <w:rPr>
          <w:b/>
          <w:bCs/>
          <w:color w:val="1F3864" w:themeColor="accent1" w:themeShade="80"/>
          <w:lang w:val="en-NZ"/>
        </w:rPr>
        <w:t xml:space="preserve">The activities are accounted for by </w:t>
      </w:r>
      <w:r w:rsidR="00EA02C2" w:rsidRPr="008644CF">
        <w:rPr>
          <w:b/>
          <w:bCs/>
          <w:color w:val="1F3864" w:themeColor="accent1" w:themeShade="80"/>
          <w:lang w:val="en-NZ"/>
        </w:rPr>
        <w:t>the science and are assumed to be at a scale of impact acceptable as a permitted activity.</w:t>
      </w:r>
    </w:p>
    <w:p w14:paraId="4A0445A9" w14:textId="77777777" w:rsidR="002D3205" w:rsidRDefault="002D3205" w:rsidP="002D3205">
      <w:pPr>
        <w:pStyle w:val="ListParagraph"/>
        <w:rPr>
          <w:lang w:val="en-NZ"/>
        </w:rPr>
      </w:pPr>
    </w:p>
    <w:p w14:paraId="439F6248" w14:textId="3316D024" w:rsidR="002D3205" w:rsidRPr="002D3205" w:rsidRDefault="004667E6" w:rsidP="002D3205">
      <w:pPr>
        <w:pStyle w:val="ListParagraph"/>
        <w:numPr>
          <w:ilvl w:val="0"/>
          <w:numId w:val="1"/>
        </w:numPr>
        <w:rPr>
          <w:lang w:val="en-NZ"/>
        </w:rPr>
      </w:pPr>
      <w:r w:rsidRPr="002D3205">
        <w:rPr>
          <w:i/>
          <w:iCs/>
          <w:lang w:val="en-NZ"/>
        </w:rPr>
        <w:t xml:space="preserve">Hort NZ </w:t>
      </w:r>
      <w:r w:rsidR="002D3205">
        <w:rPr>
          <w:i/>
          <w:iCs/>
          <w:lang w:val="en-NZ"/>
        </w:rPr>
        <w:t>are</w:t>
      </w:r>
      <w:r w:rsidRPr="002D3205">
        <w:rPr>
          <w:i/>
          <w:iCs/>
          <w:lang w:val="en-NZ"/>
        </w:rPr>
        <w:t xml:space="preserve"> mainly thinking about domestic production. What about export</w:t>
      </w:r>
      <w:r w:rsidR="002D3205">
        <w:rPr>
          <w:i/>
          <w:iCs/>
          <w:lang w:val="en-NZ"/>
        </w:rPr>
        <w:t>?</w:t>
      </w:r>
      <w:r w:rsidRPr="002D3205">
        <w:rPr>
          <w:i/>
          <w:iCs/>
          <w:lang w:val="en-NZ"/>
        </w:rPr>
        <w:t xml:space="preserve">  </w:t>
      </w:r>
      <w:r w:rsidR="002D3205">
        <w:rPr>
          <w:i/>
          <w:iCs/>
          <w:lang w:val="en-NZ"/>
        </w:rPr>
        <w:t>W</w:t>
      </w:r>
      <w:r w:rsidRPr="002D3205">
        <w:rPr>
          <w:i/>
          <w:iCs/>
          <w:lang w:val="en-NZ"/>
        </w:rPr>
        <w:t>e were told to double our export receipts by 2025.</w:t>
      </w:r>
      <w:r w:rsidR="00CD66D5" w:rsidRPr="002D3205">
        <w:rPr>
          <w:i/>
          <w:iCs/>
          <w:color w:val="70AD47" w:themeColor="accent6"/>
          <w:lang w:val="en-NZ"/>
        </w:rPr>
        <w:t xml:space="preserve"> </w:t>
      </w:r>
    </w:p>
    <w:p w14:paraId="6F8FF68E" w14:textId="77777777" w:rsidR="00F252C4" w:rsidRDefault="00CD66D5" w:rsidP="004667E6">
      <w:pPr>
        <w:pStyle w:val="ListParagraph"/>
        <w:numPr>
          <w:ilvl w:val="0"/>
          <w:numId w:val="6"/>
        </w:numPr>
        <w:rPr>
          <w:b/>
          <w:bCs/>
          <w:color w:val="1F3864" w:themeColor="accent1" w:themeShade="80"/>
          <w:lang w:val="en-NZ"/>
        </w:rPr>
      </w:pPr>
      <w:r w:rsidRPr="008644CF">
        <w:rPr>
          <w:b/>
          <w:bCs/>
          <w:color w:val="1F3864" w:themeColor="accent1" w:themeShade="80"/>
          <w:lang w:val="en-NZ"/>
        </w:rPr>
        <w:t>Government ratified a Treaty Settlement for the Waikato River and PC1 was the result of that Government decision.</w:t>
      </w:r>
      <w:r w:rsidR="002D3205" w:rsidRPr="008644CF">
        <w:rPr>
          <w:b/>
          <w:bCs/>
          <w:color w:val="1F3864" w:themeColor="accent1" w:themeShade="80"/>
          <w:lang w:val="en-NZ"/>
        </w:rPr>
        <w:t xml:space="preserve"> </w:t>
      </w:r>
    </w:p>
    <w:p w14:paraId="143C2906" w14:textId="77777777" w:rsidR="00472DB7" w:rsidRDefault="002D3205" w:rsidP="00F252C4">
      <w:pPr>
        <w:pStyle w:val="ListParagraph"/>
        <w:numPr>
          <w:ilvl w:val="0"/>
          <w:numId w:val="6"/>
        </w:numPr>
        <w:rPr>
          <w:b/>
          <w:bCs/>
          <w:color w:val="1F3864" w:themeColor="accent1" w:themeShade="80"/>
          <w:lang w:val="en-NZ"/>
        </w:rPr>
      </w:pPr>
      <w:r w:rsidRPr="008644CF">
        <w:rPr>
          <w:b/>
          <w:bCs/>
          <w:color w:val="1F3864" w:themeColor="accent1" w:themeShade="80"/>
          <w:lang w:val="en-NZ"/>
        </w:rPr>
        <w:t>We agree that Hort NZ does not account for growth in area for potato growers</w:t>
      </w:r>
      <w:r w:rsidR="00472DB7">
        <w:rPr>
          <w:b/>
          <w:bCs/>
          <w:color w:val="1F3864" w:themeColor="accent1" w:themeShade="80"/>
          <w:lang w:val="en-NZ"/>
        </w:rPr>
        <w:t>, which will affect export</w:t>
      </w:r>
      <w:r w:rsidRPr="008644CF">
        <w:rPr>
          <w:b/>
          <w:bCs/>
          <w:color w:val="1F3864" w:themeColor="accent1" w:themeShade="80"/>
          <w:lang w:val="en-NZ"/>
        </w:rPr>
        <w:t xml:space="preserve">. </w:t>
      </w:r>
    </w:p>
    <w:p w14:paraId="5AC06882" w14:textId="77777777" w:rsidR="00472DB7" w:rsidRDefault="002D3205" w:rsidP="00F252C4">
      <w:pPr>
        <w:pStyle w:val="ListParagraph"/>
        <w:numPr>
          <w:ilvl w:val="0"/>
          <w:numId w:val="6"/>
        </w:numPr>
        <w:rPr>
          <w:b/>
          <w:bCs/>
          <w:color w:val="1F3864" w:themeColor="accent1" w:themeShade="80"/>
          <w:lang w:val="en-NZ"/>
        </w:rPr>
      </w:pPr>
      <w:r w:rsidRPr="008644CF">
        <w:rPr>
          <w:b/>
          <w:bCs/>
          <w:color w:val="1F3864" w:themeColor="accent1" w:themeShade="80"/>
          <w:lang w:val="en-NZ"/>
        </w:rPr>
        <w:t>PNZ do have a strategic goal of growth.</w:t>
      </w:r>
      <w:r w:rsidR="00F252C4">
        <w:rPr>
          <w:b/>
          <w:bCs/>
          <w:color w:val="1F3864" w:themeColor="accent1" w:themeShade="80"/>
          <w:lang w:val="en-NZ"/>
        </w:rPr>
        <w:t xml:space="preserve"> </w:t>
      </w:r>
    </w:p>
    <w:p w14:paraId="71E087AD" w14:textId="227632F2" w:rsidR="002D3205" w:rsidRDefault="002D3205" w:rsidP="00F252C4">
      <w:pPr>
        <w:pStyle w:val="ListParagraph"/>
        <w:numPr>
          <w:ilvl w:val="0"/>
          <w:numId w:val="6"/>
        </w:numPr>
        <w:rPr>
          <w:b/>
          <w:bCs/>
          <w:color w:val="1F3864" w:themeColor="accent1" w:themeShade="80"/>
          <w:lang w:val="en-NZ"/>
        </w:rPr>
      </w:pPr>
      <w:r w:rsidRPr="00F252C4">
        <w:rPr>
          <w:b/>
          <w:bCs/>
          <w:color w:val="1F3864" w:themeColor="accent1" w:themeShade="80"/>
          <w:lang w:val="en-NZ"/>
        </w:rPr>
        <w:lastRenderedPageBreak/>
        <w:t>This is the</w:t>
      </w:r>
      <w:r w:rsidR="00A55B60">
        <w:rPr>
          <w:b/>
          <w:bCs/>
          <w:color w:val="1F3864" w:themeColor="accent1" w:themeShade="80"/>
          <w:lang w:val="en-NZ"/>
        </w:rPr>
        <w:t xml:space="preserve"> only </w:t>
      </w:r>
      <w:r w:rsidRPr="00F252C4">
        <w:rPr>
          <w:b/>
          <w:bCs/>
          <w:color w:val="1F3864" w:themeColor="accent1" w:themeShade="80"/>
          <w:lang w:val="en-NZ"/>
        </w:rPr>
        <w:t>point of difference between Hort NZ and PNZ</w:t>
      </w:r>
      <w:r w:rsidR="00A55B60">
        <w:rPr>
          <w:b/>
          <w:bCs/>
          <w:color w:val="1F3864" w:themeColor="accent1" w:themeShade="80"/>
          <w:lang w:val="en-NZ"/>
        </w:rPr>
        <w:t>’s approach to Plan Changes</w:t>
      </w:r>
      <w:r w:rsidRPr="00F252C4">
        <w:rPr>
          <w:b/>
          <w:bCs/>
          <w:color w:val="1F3864" w:themeColor="accent1" w:themeShade="80"/>
          <w:lang w:val="en-NZ"/>
        </w:rPr>
        <w:t>; Hort NZ supports intensive growing, PNZ supports extensive growing.</w:t>
      </w:r>
    </w:p>
    <w:p w14:paraId="2B8D4116" w14:textId="6149187B" w:rsidR="00472DB7" w:rsidRPr="00F252C4" w:rsidRDefault="00472DB7" w:rsidP="00F252C4">
      <w:pPr>
        <w:pStyle w:val="ListParagraph"/>
        <w:numPr>
          <w:ilvl w:val="0"/>
          <w:numId w:val="6"/>
        </w:numPr>
        <w:rPr>
          <w:b/>
          <w:bCs/>
          <w:color w:val="1F3864" w:themeColor="accent1" w:themeShade="80"/>
          <w:lang w:val="en-NZ"/>
        </w:rPr>
      </w:pPr>
      <w:r>
        <w:rPr>
          <w:b/>
          <w:bCs/>
          <w:color w:val="1F3864" w:themeColor="accent1" w:themeShade="80"/>
          <w:lang w:val="en-NZ"/>
        </w:rPr>
        <w:t>PNZ believe it is important to have some diversity of ideas in the room when appealing to regulators, to enable development of a nuanced change.</w:t>
      </w:r>
    </w:p>
    <w:p w14:paraId="307D4B51" w14:textId="77777777" w:rsidR="002D3205" w:rsidRDefault="002D3205" w:rsidP="002D3205">
      <w:pPr>
        <w:pStyle w:val="ListParagraph"/>
        <w:rPr>
          <w:lang w:val="en-NZ"/>
        </w:rPr>
      </w:pPr>
    </w:p>
    <w:p w14:paraId="213ACB15" w14:textId="4E546F2B" w:rsidR="002D3205" w:rsidRPr="002D3205" w:rsidRDefault="004667E6" w:rsidP="002D3205">
      <w:pPr>
        <w:pStyle w:val="ListParagraph"/>
        <w:numPr>
          <w:ilvl w:val="0"/>
          <w:numId w:val="1"/>
        </w:numPr>
        <w:rPr>
          <w:i/>
          <w:iCs/>
          <w:lang w:val="en-NZ"/>
        </w:rPr>
      </w:pPr>
      <w:r w:rsidRPr="002D3205">
        <w:rPr>
          <w:i/>
          <w:iCs/>
          <w:lang w:val="en-NZ"/>
        </w:rPr>
        <w:t xml:space="preserve">Most Growers have increased production area </w:t>
      </w:r>
      <w:r w:rsidR="002D3205">
        <w:rPr>
          <w:i/>
          <w:iCs/>
          <w:lang w:val="en-NZ"/>
        </w:rPr>
        <w:t>since</w:t>
      </w:r>
      <w:r w:rsidRPr="002D3205">
        <w:rPr>
          <w:i/>
          <w:iCs/>
          <w:lang w:val="en-NZ"/>
        </w:rPr>
        <w:t xml:space="preserve"> 2016. What are we supposed to do with the extra land, if it is deemed to be in a sub</w:t>
      </w:r>
      <w:r w:rsidR="00F252C4">
        <w:rPr>
          <w:i/>
          <w:iCs/>
          <w:lang w:val="en-NZ"/>
        </w:rPr>
        <w:t>-</w:t>
      </w:r>
      <w:r w:rsidRPr="002D3205">
        <w:rPr>
          <w:i/>
          <w:iCs/>
          <w:lang w:val="en-NZ"/>
        </w:rPr>
        <w:t>catchment</w:t>
      </w:r>
      <w:r w:rsidR="00CD66D5" w:rsidRPr="002D3205">
        <w:rPr>
          <w:i/>
          <w:iCs/>
          <w:lang w:val="en-NZ"/>
        </w:rPr>
        <w:t xml:space="preserve"> that is already over allocated</w:t>
      </w:r>
      <w:r w:rsidR="002D3205">
        <w:rPr>
          <w:i/>
          <w:iCs/>
          <w:lang w:val="en-NZ"/>
        </w:rPr>
        <w:t>?</w:t>
      </w:r>
      <w:r w:rsidR="00CD66D5" w:rsidRPr="002D3205">
        <w:rPr>
          <w:i/>
          <w:iCs/>
          <w:lang w:val="en-NZ"/>
        </w:rPr>
        <w:t xml:space="preserve">  </w:t>
      </w:r>
    </w:p>
    <w:p w14:paraId="5AAD6D34" w14:textId="507E9320" w:rsidR="004667E6" w:rsidRPr="008644CF" w:rsidRDefault="002D3205" w:rsidP="002D3205">
      <w:pPr>
        <w:pStyle w:val="ListParagraph"/>
        <w:numPr>
          <w:ilvl w:val="0"/>
          <w:numId w:val="6"/>
        </w:numPr>
        <w:rPr>
          <w:b/>
          <w:bCs/>
          <w:color w:val="1F3864" w:themeColor="accent1" w:themeShade="80"/>
          <w:lang w:val="en-NZ"/>
        </w:rPr>
      </w:pPr>
      <w:r w:rsidRPr="008644CF">
        <w:rPr>
          <w:b/>
          <w:bCs/>
          <w:color w:val="1F3864" w:themeColor="accent1" w:themeShade="80"/>
          <w:lang w:val="en-NZ"/>
        </w:rPr>
        <w:t>We are uncertain how this would be addressed</w:t>
      </w:r>
      <w:r w:rsidR="00CD66D5" w:rsidRPr="008644CF">
        <w:rPr>
          <w:b/>
          <w:bCs/>
          <w:color w:val="1F3864" w:themeColor="accent1" w:themeShade="80"/>
          <w:lang w:val="en-NZ"/>
        </w:rPr>
        <w:t xml:space="preserve">. </w:t>
      </w:r>
      <w:r w:rsidRPr="008644CF">
        <w:rPr>
          <w:b/>
          <w:bCs/>
          <w:color w:val="1F3864" w:themeColor="accent1" w:themeShade="80"/>
          <w:lang w:val="en-NZ"/>
        </w:rPr>
        <w:t>Industry</w:t>
      </w:r>
      <w:r w:rsidR="00CD66D5" w:rsidRPr="008644CF">
        <w:rPr>
          <w:b/>
          <w:bCs/>
          <w:color w:val="1F3864" w:themeColor="accent1" w:themeShade="80"/>
          <w:lang w:val="en-NZ"/>
        </w:rPr>
        <w:t xml:space="preserve"> </w:t>
      </w:r>
      <w:r w:rsidRPr="008644CF">
        <w:rPr>
          <w:b/>
          <w:bCs/>
          <w:color w:val="1F3864" w:themeColor="accent1" w:themeShade="80"/>
          <w:lang w:val="en-NZ"/>
        </w:rPr>
        <w:t>c</w:t>
      </w:r>
      <w:r w:rsidR="00CD66D5" w:rsidRPr="008644CF">
        <w:rPr>
          <w:b/>
          <w:bCs/>
          <w:color w:val="1F3864" w:themeColor="accent1" w:themeShade="80"/>
          <w:lang w:val="en-NZ"/>
        </w:rPr>
        <w:t>ould pilot a consent application</w:t>
      </w:r>
      <w:r w:rsidRPr="008644CF">
        <w:rPr>
          <w:b/>
          <w:bCs/>
          <w:color w:val="1F3864" w:themeColor="accent1" w:themeShade="80"/>
          <w:lang w:val="en-NZ"/>
        </w:rPr>
        <w:t xml:space="preserve"> as a trial,</w:t>
      </w:r>
      <w:r w:rsidR="00CD66D5" w:rsidRPr="008644CF">
        <w:rPr>
          <w:b/>
          <w:bCs/>
          <w:color w:val="1F3864" w:themeColor="accent1" w:themeShade="80"/>
          <w:lang w:val="en-NZ"/>
        </w:rPr>
        <w:t xml:space="preserve"> </w:t>
      </w:r>
      <w:r w:rsidRPr="008644CF">
        <w:rPr>
          <w:b/>
          <w:bCs/>
          <w:color w:val="1F3864" w:themeColor="accent1" w:themeShade="80"/>
          <w:lang w:val="en-NZ"/>
        </w:rPr>
        <w:t>with</w:t>
      </w:r>
      <w:r w:rsidR="00CD66D5" w:rsidRPr="008644CF">
        <w:rPr>
          <w:b/>
          <w:bCs/>
          <w:color w:val="1F3864" w:themeColor="accent1" w:themeShade="80"/>
          <w:lang w:val="en-NZ"/>
        </w:rPr>
        <w:t xml:space="preserve"> that component in it.</w:t>
      </w:r>
    </w:p>
    <w:p w14:paraId="7F1A4998" w14:textId="77777777" w:rsidR="002D3205" w:rsidRPr="002D3205" w:rsidRDefault="002D3205" w:rsidP="002D3205">
      <w:pPr>
        <w:pStyle w:val="ListParagraph"/>
        <w:rPr>
          <w:lang w:val="en-NZ"/>
        </w:rPr>
      </w:pPr>
    </w:p>
    <w:p w14:paraId="1C0A49B6" w14:textId="3744C4DB" w:rsidR="002D3205" w:rsidRPr="002D3205" w:rsidRDefault="004667E6" w:rsidP="002D3205">
      <w:pPr>
        <w:pStyle w:val="ListParagraph"/>
        <w:numPr>
          <w:ilvl w:val="0"/>
          <w:numId w:val="1"/>
        </w:numPr>
        <w:rPr>
          <w:i/>
          <w:iCs/>
          <w:lang w:val="en-NZ"/>
        </w:rPr>
      </w:pPr>
      <w:r w:rsidRPr="002D3205">
        <w:rPr>
          <w:i/>
          <w:iCs/>
          <w:lang w:val="en-NZ"/>
        </w:rPr>
        <w:t>Some of the catchments are already in the danger zone according to Waikato</w:t>
      </w:r>
      <w:r w:rsidR="002D3205">
        <w:rPr>
          <w:i/>
          <w:iCs/>
          <w:lang w:val="en-NZ"/>
        </w:rPr>
        <w:t xml:space="preserve"> Council</w:t>
      </w:r>
      <w:r w:rsidRPr="002D3205">
        <w:rPr>
          <w:i/>
          <w:iCs/>
          <w:lang w:val="en-NZ"/>
        </w:rPr>
        <w:t xml:space="preserve">. </w:t>
      </w:r>
      <w:r w:rsidR="002D3205">
        <w:rPr>
          <w:i/>
          <w:iCs/>
          <w:lang w:val="en-NZ"/>
        </w:rPr>
        <w:t xml:space="preserve">Growers are concerned that includes </w:t>
      </w:r>
      <w:r w:rsidRPr="002D3205">
        <w:rPr>
          <w:i/>
          <w:iCs/>
          <w:lang w:val="en-NZ"/>
        </w:rPr>
        <w:t xml:space="preserve">a lot of production land from Bombay through to </w:t>
      </w:r>
      <w:proofErr w:type="spellStart"/>
      <w:r w:rsidRPr="002D3205">
        <w:rPr>
          <w:i/>
          <w:iCs/>
          <w:lang w:val="en-NZ"/>
        </w:rPr>
        <w:t>Tuakau</w:t>
      </w:r>
      <w:proofErr w:type="spellEnd"/>
      <w:r w:rsidRPr="002D3205">
        <w:rPr>
          <w:i/>
          <w:iCs/>
          <w:lang w:val="en-NZ"/>
        </w:rPr>
        <w:t>.</w:t>
      </w:r>
      <w:r w:rsidR="00CD66D5" w:rsidRPr="002D3205">
        <w:rPr>
          <w:i/>
          <w:iCs/>
          <w:lang w:val="en-NZ"/>
        </w:rPr>
        <w:t xml:space="preserve"> </w:t>
      </w:r>
    </w:p>
    <w:p w14:paraId="5C480E2E" w14:textId="0FFE5DC9" w:rsidR="002D3205" w:rsidRDefault="00620B78" w:rsidP="00620B78">
      <w:pPr>
        <w:pStyle w:val="ListParagraph"/>
        <w:numPr>
          <w:ilvl w:val="0"/>
          <w:numId w:val="6"/>
        </w:numPr>
        <w:rPr>
          <w:lang w:val="en-NZ"/>
        </w:rPr>
      </w:pPr>
      <w:r>
        <w:rPr>
          <w:b/>
          <w:bCs/>
          <w:color w:val="1F3864" w:themeColor="accent1" w:themeShade="80"/>
          <w:lang w:val="en-NZ"/>
        </w:rPr>
        <w:t xml:space="preserve">Yes, there are 18 catchments in Waikato which will need FEPs by April 2021. </w:t>
      </w:r>
      <w:r w:rsidRPr="008644CF">
        <w:rPr>
          <w:b/>
          <w:bCs/>
          <w:color w:val="1F3864" w:themeColor="accent1" w:themeShade="80"/>
          <w:lang w:val="en-NZ"/>
        </w:rPr>
        <w:t xml:space="preserve">A </w:t>
      </w:r>
      <w:r w:rsidR="00521E66">
        <w:rPr>
          <w:b/>
          <w:bCs/>
          <w:color w:val="1F3864" w:themeColor="accent1" w:themeShade="80"/>
          <w:lang w:val="en-NZ"/>
        </w:rPr>
        <w:t>FEP</w:t>
      </w:r>
      <w:r w:rsidRPr="008644CF">
        <w:rPr>
          <w:b/>
          <w:bCs/>
          <w:color w:val="1F3864" w:themeColor="accent1" w:themeShade="80"/>
          <w:lang w:val="en-NZ"/>
        </w:rPr>
        <w:t xml:space="preserve"> will be required by most farmers under national legislation and is already required in many other plans.</w:t>
      </w:r>
    </w:p>
    <w:p w14:paraId="78065B6B" w14:textId="77777777" w:rsidR="002D3205" w:rsidRPr="002D3205" w:rsidRDefault="002D3205" w:rsidP="002D3205">
      <w:pPr>
        <w:pStyle w:val="ListParagraph"/>
        <w:rPr>
          <w:lang w:val="en-NZ"/>
        </w:rPr>
      </w:pPr>
    </w:p>
    <w:p w14:paraId="64A6E4DC" w14:textId="2D3AED52" w:rsidR="002D3205" w:rsidRPr="002D3205" w:rsidRDefault="004667E6" w:rsidP="002D3205">
      <w:pPr>
        <w:pStyle w:val="ListParagraph"/>
        <w:numPr>
          <w:ilvl w:val="0"/>
          <w:numId w:val="1"/>
        </w:numPr>
        <w:rPr>
          <w:i/>
          <w:iCs/>
          <w:lang w:val="en-NZ"/>
        </w:rPr>
      </w:pPr>
      <w:r w:rsidRPr="002D3205">
        <w:rPr>
          <w:i/>
          <w:iCs/>
          <w:lang w:val="en-NZ"/>
        </w:rPr>
        <w:t>Is vegetable cropping going to become prescriptive where we will only be allowed to put on x number of nitrogen</w:t>
      </w:r>
      <w:r w:rsidR="002D3205">
        <w:rPr>
          <w:i/>
          <w:iCs/>
          <w:lang w:val="en-NZ"/>
        </w:rPr>
        <w:t xml:space="preserve">? </w:t>
      </w:r>
      <w:r w:rsidRPr="002D3205">
        <w:rPr>
          <w:i/>
          <w:iCs/>
          <w:lang w:val="en-NZ"/>
        </w:rPr>
        <w:t xml:space="preserve">What happens if bad weather </w:t>
      </w:r>
      <w:r w:rsidR="002D3205">
        <w:rPr>
          <w:i/>
          <w:iCs/>
          <w:lang w:val="en-NZ"/>
        </w:rPr>
        <w:t>f</w:t>
      </w:r>
      <w:r w:rsidRPr="002D3205">
        <w:rPr>
          <w:i/>
          <w:iCs/>
          <w:lang w:val="en-NZ"/>
        </w:rPr>
        <w:t xml:space="preserve">rost damage or </w:t>
      </w:r>
      <w:r w:rsidR="002D3205">
        <w:rPr>
          <w:i/>
          <w:iCs/>
          <w:lang w:val="en-NZ"/>
        </w:rPr>
        <w:t>h</w:t>
      </w:r>
      <w:r w:rsidRPr="002D3205">
        <w:rPr>
          <w:i/>
          <w:iCs/>
          <w:lang w:val="en-NZ"/>
        </w:rPr>
        <w:t>ail damage occur and we need to apply more Nitrogen</w:t>
      </w:r>
      <w:r w:rsidR="002D3205">
        <w:rPr>
          <w:i/>
          <w:iCs/>
          <w:lang w:val="en-NZ"/>
        </w:rPr>
        <w:t>?</w:t>
      </w:r>
      <w:r w:rsidR="00CD66D5" w:rsidRPr="002D3205">
        <w:rPr>
          <w:i/>
          <w:iCs/>
          <w:lang w:val="en-NZ"/>
        </w:rPr>
        <w:t xml:space="preserve"> </w:t>
      </w:r>
    </w:p>
    <w:p w14:paraId="5770825C" w14:textId="116F86B8" w:rsidR="00AB45F7" w:rsidRPr="00835705" w:rsidRDefault="002D3205" w:rsidP="00762008">
      <w:pPr>
        <w:pStyle w:val="ListParagraph"/>
        <w:numPr>
          <w:ilvl w:val="0"/>
          <w:numId w:val="6"/>
        </w:numPr>
        <w:rPr>
          <w:lang w:val="en-NZ"/>
        </w:rPr>
      </w:pPr>
      <w:r w:rsidRPr="00835705">
        <w:rPr>
          <w:b/>
          <w:bCs/>
          <w:color w:val="1F3864" w:themeColor="accent1" w:themeShade="80"/>
          <w:lang w:val="en-NZ"/>
        </w:rPr>
        <w:t>H</w:t>
      </w:r>
      <w:r w:rsidR="00CD66D5" w:rsidRPr="00835705">
        <w:rPr>
          <w:b/>
          <w:bCs/>
          <w:color w:val="1F3864" w:themeColor="accent1" w:themeShade="80"/>
          <w:lang w:val="en-NZ"/>
        </w:rPr>
        <w:t>aving a tailored approach to resource consent allow</w:t>
      </w:r>
      <w:r w:rsidRPr="00835705">
        <w:rPr>
          <w:b/>
          <w:bCs/>
          <w:color w:val="1F3864" w:themeColor="accent1" w:themeShade="80"/>
          <w:lang w:val="en-NZ"/>
        </w:rPr>
        <w:t>s</w:t>
      </w:r>
      <w:r w:rsidR="00CD66D5" w:rsidRPr="00835705">
        <w:rPr>
          <w:b/>
          <w:bCs/>
          <w:color w:val="1F3864" w:themeColor="accent1" w:themeShade="80"/>
          <w:lang w:val="en-NZ"/>
        </w:rPr>
        <w:t xml:space="preserve"> for applications that are variable. </w:t>
      </w:r>
    </w:p>
    <w:p w14:paraId="7E9001E1" w14:textId="77777777" w:rsidR="00835705" w:rsidRPr="00835705" w:rsidRDefault="00835705" w:rsidP="00835705">
      <w:pPr>
        <w:pStyle w:val="ListParagraph"/>
        <w:rPr>
          <w:lang w:val="en-NZ"/>
        </w:rPr>
      </w:pPr>
    </w:p>
    <w:p w14:paraId="07D10E72" w14:textId="74573DC0" w:rsidR="00AB45F7" w:rsidRPr="00AB45F7" w:rsidRDefault="00720CF4" w:rsidP="00AB45F7">
      <w:pPr>
        <w:pStyle w:val="ListParagraph"/>
        <w:numPr>
          <w:ilvl w:val="0"/>
          <w:numId w:val="1"/>
        </w:numPr>
        <w:rPr>
          <w:i/>
          <w:iCs/>
          <w:lang w:val="en-NZ"/>
        </w:rPr>
      </w:pPr>
      <w:r>
        <w:rPr>
          <w:i/>
          <w:iCs/>
          <w:lang w:val="en-NZ"/>
        </w:rPr>
        <w:t>The 2020 pandemic crisis has highlighted</w:t>
      </w:r>
      <w:r w:rsidR="004667E6" w:rsidRPr="00AB45F7">
        <w:rPr>
          <w:i/>
          <w:iCs/>
          <w:lang w:val="en-NZ"/>
        </w:rPr>
        <w:t xml:space="preserve"> that vegetable production is essential for feeding the population. </w:t>
      </w:r>
      <w:r w:rsidR="008644CF">
        <w:rPr>
          <w:i/>
          <w:iCs/>
          <w:lang w:val="en-NZ"/>
        </w:rPr>
        <w:t>In</w:t>
      </w:r>
      <w:r w:rsidR="004667E6" w:rsidRPr="00AB45F7">
        <w:rPr>
          <w:i/>
          <w:iCs/>
          <w:lang w:val="en-NZ"/>
        </w:rPr>
        <w:t xml:space="preserve"> the future and </w:t>
      </w:r>
      <w:r w:rsidR="008644CF">
        <w:rPr>
          <w:i/>
          <w:iCs/>
          <w:lang w:val="en-NZ"/>
        </w:rPr>
        <w:t xml:space="preserve">if </w:t>
      </w:r>
      <w:r w:rsidR="004667E6" w:rsidRPr="00AB45F7">
        <w:rPr>
          <w:i/>
          <w:iCs/>
          <w:lang w:val="en-NZ"/>
        </w:rPr>
        <w:t>our population is greater</w:t>
      </w:r>
      <w:r w:rsidR="008644CF">
        <w:rPr>
          <w:i/>
          <w:iCs/>
          <w:lang w:val="en-NZ"/>
        </w:rPr>
        <w:t>,</w:t>
      </w:r>
      <w:r w:rsidR="004667E6" w:rsidRPr="00AB45F7">
        <w:rPr>
          <w:i/>
          <w:iCs/>
          <w:lang w:val="en-NZ"/>
        </w:rPr>
        <w:t xml:space="preserve"> will we be able to supply enough produce</w:t>
      </w:r>
      <w:r w:rsidR="008644CF">
        <w:rPr>
          <w:i/>
          <w:iCs/>
          <w:lang w:val="en-NZ"/>
        </w:rPr>
        <w:t>?</w:t>
      </w:r>
    </w:p>
    <w:p w14:paraId="3B9F8364" w14:textId="7AEB3F75" w:rsidR="004667E6" w:rsidRDefault="00CD66D5" w:rsidP="00AB45F7">
      <w:pPr>
        <w:pStyle w:val="ListParagraph"/>
        <w:numPr>
          <w:ilvl w:val="0"/>
          <w:numId w:val="6"/>
        </w:numPr>
        <w:rPr>
          <w:b/>
          <w:bCs/>
          <w:color w:val="1F3864" w:themeColor="accent1" w:themeShade="80"/>
          <w:lang w:val="en-NZ"/>
        </w:rPr>
      </w:pPr>
      <w:r w:rsidRPr="008644CF">
        <w:rPr>
          <w:b/>
          <w:bCs/>
          <w:color w:val="1F3864" w:themeColor="accent1" w:themeShade="80"/>
          <w:lang w:val="en-NZ"/>
        </w:rPr>
        <w:t>Let’s see if the Government recommends any changes to the NPS for Highly Productive Land</w:t>
      </w:r>
      <w:r w:rsidR="008644CF" w:rsidRPr="008644CF">
        <w:rPr>
          <w:b/>
          <w:bCs/>
          <w:color w:val="1F3864" w:themeColor="accent1" w:themeShade="80"/>
          <w:lang w:val="en-NZ"/>
        </w:rPr>
        <w:t>.</w:t>
      </w:r>
      <w:r w:rsidRPr="008644CF">
        <w:rPr>
          <w:b/>
          <w:bCs/>
          <w:color w:val="1F3864" w:themeColor="accent1" w:themeShade="80"/>
          <w:lang w:val="en-NZ"/>
        </w:rPr>
        <w:t xml:space="preserve"> </w:t>
      </w:r>
      <w:r w:rsidR="008644CF" w:rsidRPr="008644CF">
        <w:rPr>
          <w:b/>
          <w:bCs/>
          <w:color w:val="1F3864" w:themeColor="accent1" w:themeShade="80"/>
          <w:lang w:val="en-NZ"/>
        </w:rPr>
        <w:t>Ability to continue to grow and expansion of growing area,</w:t>
      </w:r>
      <w:r w:rsidRPr="008644CF">
        <w:rPr>
          <w:b/>
          <w:bCs/>
          <w:color w:val="1F3864" w:themeColor="accent1" w:themeShade="80"/>
          <w:lang w:val="en-NZ"/>
        </w:rPr>
        <w:t xml:space="preserve"> </w:t>
      </w:r>
      <w:r w:rsidR="008644CF" w:rsidRPr="008644CF">
        <w:rPr>
          <w:b/>
          <w:bCs/>
          <w:color w:val="1F3864" w:themeColor="accent1" w:themeShade="80"/>
          <w:lang w:val="en-NZ"/>
        </w:rPr>
        <w:t>is</w:t>
      </w:r>
      <w:r w:rsidRPr="008644CF">
        <w:rPr>
          <w:b/>
          <w:bCs/>
          <w:color w:val="1F3864" w:themeColor="accent1" w:themeShade="80"/>
          <w:lang w:val="en-NZ"/>
        </w:rPr>
        <w:t xml:space="preserve"> </w:t>
      </w:r>
      <w:r w:rsidR="008644CF" w:rsidRPr="008644CF">
        <w:rPr>
          <w:b/>
          <w:bCs/>
          <w:color w:val="1F3864" w:themeColor="accent1" w:themeShade="80"/>
          <w:lang w:val="en-NZ"/>
        </w:rPr>
        <w:t>the goal</w:t>
      </w:r>
      <w:r w:rsidRPr="008644CF">
        <w:rPr>
          <w:b/>
          <w:bCs/>
          <w:color w:val="1F3864" w:themeColor="accent1" w:themeShade="80"/>
          <w:lang w:val="en-NZ"/>
        </w:rPr>
        <w:t xml:space="preserve"> </w:t>
      </w:r>
      <w:r w:rsidR="008644CF" w:rsidRPr="008644CF">
        <w:rPr>
          <w:b/>
          <w:bCs/>
          <w:color w:val="1F3864" w:themeColor="accent1" w:themeShade="80"/>
          <w:lang w:val="en-NZ"/>
        </w:rPr>
        <w:t>for PNZ</w:t>
      </w:r>
      <w:r w:rsidRPr="008644CF">
        <w:rPr>
          <w:b/>
          <w:bCs/>
          <w:color w:val="1F3864" w:themeColor="accent1" w:themeShade="80"/>
          <w:lang w:val="en-NZ"/>
        </w:rPr>
        <w:t>.</w:t>
      </w:r>
    </w:p>
    <w:p w14:paraId="0342CBD5" w14:textId="77777777" w:rsidR="001D59BE" w:rsidRDefault="00620B78" w:rsidP="00AB45F7">
      <w:pPr>
        <w:pStyle w:val="ListParagraph"/>
        <w:numPr>
          <w:ilvl w:val="0"/>
          <w:numId w:val="6"/>
        </w:numPr>
        <w:rPr>
          <w:b/>
          <w:bCs/>
          <w:color w:val="1F3864" w:themeColor="accent1" w:themeShade="80"/>
          <w:lang w:val="en-NZ"/>
        </w:rPr>
      </w:pPr>
      <w:r>
        <w:rPr>
          <w:b/>
          <w:bCs/>
          <w:color w:val="1F3864" w:themeColor="accent1" w:themeShade="80"/>
          <w:lang w:val="en-NZ"/>
        </w:rPr>
        <w:t xml:space="preserve">PNZ will be undertaking 3 case studies in Pukekohe for FEPs and consent process. These case studies will determine the technical difficulties inherent in PC1 and influence the appeal led by Hort NZ and possibly PNZ (PNZ appeal TBC). </w:t>
      </w:r>
    </w:p>
    <w:p w14:paraId="2DEE5DEC" w14:textId="3492607A" w:rsidR="00620B78" w:rsidRPr="008644CF" w:rsidRDefault="00620B78" w:rsidP="00AB45F7">
      <w:pPr>
        <w:pStyle w:val="ListParagraph"/>
        <w:numPr>
          <w:ilvl w:val="0"/>
          <w:numId w:val="6"/>
        </w:numPr>
        <w:rPr>
          <w:b/>
          <w:bCs/>
          <w:color w:val="1F3864" w:themeColor="accent1" w:themeShade="80"/>
          <w:lang w:val="en-NZ"/>
        </w:rPr>
      </w:pPr>
      <w:r>
        <w:rPr>
          <w:b/>
          <w:bCs/>
          <w:color w:val="1F3864" w:themeColor="accent1" w:themeShade="80"/>
          <w:lang w:val="en-NZ"/>
        </w:rPr>
        <w:t>If PC1 can accommodate the technical characteristics of potato growing, then the industry will be able to grow enough produce in the future.</w:t>
      </w:r>
    </w:p>
    <w:p w14:paraId="2EDEEB1E" w14:textId="77777777" w:rsidR="00A40C3D" w:rsidRPr="00AB45F7" w:rsidRDefault="00A40C3D"/>
    <w:sectPr w:rsidR="00A40C3D" w:rsidRPr="00AB4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5BB0"/>
    <w:multiLevelType w:val="hybridMultilevel"/>
    <w:tmpl w:val="848C5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6B5FFD"/>
    <w:multiLevelType w:val="hybridMultilevel"/>
    <w:tmpl w:val="690EC7B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1442FDC"/>
    <w:multiLevelType w:val="multilevel"/>
    <w:tmpl w:val="64129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52385B"/>
    <w:multiLevelType w:val="hybridMultilevel"/>
    <w:tmpl w:val="68B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562C4"/>
    <w:multiLevelType w:val="multilevel"/>
    <w:tmpl w:val="64129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9B648C"/>
    <w:multiLevelType w:val="hybridMultilevel"/>
    <w:tmpl w:val="18BA1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4B4A77"/>
    <w:multiLevelType w:val="hybridMultilevel"/>
    <w:tmpl w:val="C284E55E"/>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FE3438"/>
    <w:multiLevelType w:val="multilevel"/>
    <w:tmpl w:val="64129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CB5628"/>
    <w:multiLevelType w:val="multilevel"/>
    <w:tmpl w:val="64129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2C75A4"/>
    <w:multiLevelType w:val="hybridMultilevel"/>
    <w:tmpl w:val="21E81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103780"/>
    <w:multiLevelType w:val="hybridMultilevel"/>
    <w:tmpl w:val="5F6A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E36BE"/>
    <w:multiLevelType w:val="hybridMultilevel"/>
    <w:tmpl w:val="A630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9"/>
  </w:num>
  <w:num w:numId="6">
    <w:abstractNumId w:val="10"/>
  </w:num>
  <w:num w:numId="7">
    <w:abstractNumId w:val="11"/>
  </w:num>
  <w:num w:numId="8">
    <w:abstractNumId w:val="8"/>
  </w:num>
  <w:num w:numId="9">
    <w:abstractNumId w:val="2"/>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E6"/>
    <w:rsid w:val="000315B4"/>
    <w:rsid w:val="001158EE"/>
    <w:rsid w:val="001D59BE"/>
    <w:rsid w:val="002D3205"/>
    <w:rsid w:val="003737DE"/>
    <w:rsid w:val="004667E6"/>
    <w:rsid w:val="00472DB7"/>
    <w:rsid w:val="005164DE"/>
    <w:rsid w:val="00521E66"/>
    <w:rsid w:val="005D0225"/>
    <w:rsid w:val="005D74BE"/>
    <w:rsid w:val="00620B78"/>
    <w:rsid w:val="0066057A"/>
    <w:rsid w:val="00720CF4"/>
    <w:rsid w:val="007D66FD"/>
    <w:rsid w:val="00835705"/>
    <w:rsid w:val="00846E61"/>
    <w:rsid w:val="008615B6"/>
    <w:rsid w:val="008644CF"/>
    <w:rsid w:val="0088363C"/>
    <w:rsid w:val="008D3177"/>
    <w:rsid w:val="00A40C3D"/>
    <w:rsid w:val="00A55B60"/>
    <w:rsid w:val="00AB45F7"/>
    <w:rsid w:val="00CC78EE"/>
    <w:rsid w:val="00CD66D5"/>
    <w:rsid w:val="00CE597A"/>
    <w:rsid w:val="00CF420E"/>
    <w:rsid w:val="00D76B27"/>
    <w:rsid w:val="00DA776F"/>
    <w:rsid w:val="00E06C2E"/>
    <w:rsid w:val="00E53069"/>
    <w:rsid w:val="00EA02C2"/>
    <w:rsid w:val="00F2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5AA1"/>
  <w15:docId w15:val="{210F6CDA-4512-4A57-892B-C22E08C7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7E6"/>
    <w:rPr>
      <w:color w:val="0000FF"/>
      <w:u w:val="single"/>
    </w:rPr>
  </w:style>
  <w:style w:type="character" w:styleId="CommentReference">
    <w:name w:val="annotation reference"/>
    <w:basedOn w:val="DefaultParagraphFont"/>
    <w:uiPriority w:val="99"/>
    <w:semiHidden/>
    <w:unhideWhenUsed/>
    <w:rsid w:val="00E53069"/>
    <w:rPr>
      <w:sz w:val="16"/>
      <w:szCs w:val="16"/>
    </w:rPr>
  </w:style>
  <w:style w:type="paragraph" w:styleId="CommentText">
    <w:name w:val="annotation text"/>
    <w:basedOn w:val="Normal"/>
    <w:link w:val="CommentTextChar"/>
    <w:uiPriority w:val="99"/>
    <w:unhideWhenUsed/>
    <w:rsid w:val="00E53069"/>
    <w:rPr>
      <w:sz w:val="20"/>
      <w:szCs w:val="20"/>
    </w:rPr>
  </w:style>
  <w:style w:type="character" w:customStyle="1" w:styleId="CommentTextChar">
    <w:name w:val="Comment Text Char"/>
    <w:basedOn w:val="DefaultParagraphFont"/>
    <w:link w:val="CommentText"/>
    <w:uiPriority w:val="99"/>
    <w:rsid w:val="00E5306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3069"/>
    <w:rPr>
      <w:b/>
      <w:bCs/>
    </w:rPr>
  </w:style>
  <w:style w:type="character" w:customStyle="1" w:styleId="CommentSubjectChar">
    <w:name w:val="Comment Subject Char"/>
    <w:basedOn w:val="CommentTextChar"/>
    <w:link w:val="CommentSubject"/>
    <w:uiPriority w:val="99"/>
    <w:semiHidden/>
    <w:rsid w:val="00E53069"/>
    <w:rPr>
      <w:rFonts w:ascii="Calibri" w:hAnsi="Calibri" w:cs="Calibri"/>
      <w:b/>
      <w:bCs/>
      <w:sz w:val="20"/>
      <w:szCs w:val="20"/>
    </w:rPr>
  </w:style>
  <w:style w:type="paragraph" w:styleId="BalloonText">
    <w:name w:val="Balloon Text"/>
    <w:basedOn w:val="Normal"/>
    <w:link w:val="BalloonTextChar"/>
    <w:uiPriority w:val="99"/>
    <w:semiHidden/>
    <w:unhideWhenUsed/>
    <w:rsid w:val="00E53069"/>
    <w:rPr>
      <w:rFonts w:ascii="Tahoma" w:hAnsi="Tahoma" w:cs="Tahoma"/>
      <w:sz w:val="16"/>
      <w:szCs w:val="16"/>
    </w:rPr>
  </w:style>
  <w:style w:type="character" w:customStyle="1" w:styleId="BalloonTextChar">
    <w:name w:val="Balloon Text Char"/>
    <w:basedOn w:val="DefaultParagraphFont"/>
    <w:link w:val="BalloonText"/>
    <w:uiPriority w:val="99"/>
    <w:semiHidden/>
    <w:rsid w:val="00E53069"/>
    <w:rPr>
      <w:rFonts w:ascii="Tahoma" w:hAnsi="Tahoma" w:cs="Tahoma"/>
      <w:sz w:val="16"/>
      <w:szCs w:val="16"/>
    </w:rPr>
  </w:style>
  <w:style w:type="paragraph" w:styleId="ListParagraph">
    <w:name w:val="List Paragraph"/>
    <w:basedOn w:val="Normal"/>
    <w:uiPriority w:val="34"/>
    <w:qFormat/>
    <w:rsid w:val="00DA776F"/>
    <w:pPr>
      <w:ind w:left="720"/>
      <w:contextualSpacing/>
    </w:pPr>
  </w:style>
  <w:style w:type="paragraph" w:styleId="Revision">
    <w:name w:val="Revision"/>
    <w:hidden/>
    <w:uiPriority w:val="99"/>
    <w:semiHidden/>
    <w:rsid w:val="005164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Carroll</dc:creator>
  <cp:keywords/>
  <dc:description/>
  <cp:lastModifiedBy>Gemma Carroll</cp:lastModifiedBy>
  <cp:revision>2</cp:revision>
  <dcterms:created xsi:type="dcterms:W3CDTF">2020-06-28T01:18:00Z</dcterms:created>
  <dcterms:modified xsi:type="dcterms:W3CDTF">2020-06-28T01:18:00Z</dcterms:modified>
</cp:coreProperties>
</file>